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6D7432A1" w:rsidP="711688CB" w:rsidRDefault="6D7432A1" w14:paraId="5846A0A1" w14:textId="783E922C">
      <w:pPr>
        <w:spacing w:before="0" w:beforeAutospacing="off" w:after="160" w:afterAutospacing="off" w:line="257" w:lineRule="auto"/>
        <w:jc w:val="left"/>
      </w:pPr>
      <w:r w:rsidRPr="711688CB" w:rsidR="6D7432A1">
        <w:rPr>
          <w:rFonts w:ascii="Arial" w:hAnsi="Arial" w:eastAsia="Arial" w:cs="Arial"/>
          <w:b w:val="1"/>
          <w:bCs w:val="1"/>
          <w:noProof w:val="0"/>
          <w:sz w:val="22"/>
          <w:szCs w:val="22"/>
          <w:lang w:val="es-ES"/>
        </w:rPr>
        <w:t xml:space="preserve">Proyección de comunicación a GECELCA: </w:t>
      </w:r>
    </w:p>
    <w:p w:rsidR="6ED718CB" w:rsidP="711688CB" w:rsidRDefault="6ED718CB" w14:paraId="5EA68D32" w14:textId="35D82205">
      <w:pPr>
        <w:spacing w:before="0" w:beforeAutospacing="off" w:after="160" w:afterAutospacing="off" w:line="257" w:lineRule="auto"/>
        <w:jc w:val="left"/>
      </w:pPr>
      <w:r w:rsidRPr="711688CB" w:rsidR="6ED718CB">
        <w:rPr>
          <w:rFonts w:ascii="Arial" w:hAnsi="Arial" w:eastAsia="Arial" w:cs="Arial"/>
          <w:b w:val="1"/>
          <w:bCs w:val="1"/>
          <w:noProof w:val="0"/>
          <w:sz w:val="22"/>
          <w:szCs w:val="22"/>
          <w:lang w:val="es-ES"/>
        </w:rPr>
        <w:t xml:space="preserve">Insumos del equipo de CS para </w:t>
      </w:r>
      <w:r w:rsidRPr="711688CB" w:rsidR="6ED718CB">
        <w:rPr>
          <w:rFonts w:ascii="Arial" w:hAnsi="Arial" w:eastAsia="Arial" w:cs="Arial"/>
          <w:b w:val="1"/>
          <w:bCs w:val="1"/>
          <w:noProof w:val="0"/>
          <w:sz w:val="22"/>
          <w:szCs w:val="22"/>
          <w:lang w:val="es-ES"/>
        </w:rPr>
        <w:t>supervisión</w:t>
      </w:r>
      <w:r w:rsidRPr="711688CB" w:rsidR="6ED718CB">
        <w:rPr>
          <w:rFonts w:ascii="Arial" w:hAnsi="Arial" w:eastAsia="Arial" w:cs="Arial"/>
          <w:b w:val="1"/>
          <w:bCs w:val="1"/>
          <w:noProof w:val="0"/>
          <w:sz w:val="22"/>
          <w:szCs w:val="22"/>
          <w:lang w:val="es-ES"/>
        </w:rPr>
        <w:t xml:space="preserve"> DEE</w:t>
      </w:r>
    </w:p>
    <w:p w:rsidR="711688CB" w:rsidP="711688CB" w:rsidRDefault="711688CB" w14:paraId="07DC96A3" w14:textId="2CE80FFD">
      <w:pPr>
        <w:spacing w:before="0" w:beforeAutospacing="off" w:after="160" w:afterAutospacing="off" w:line="257" w:lineRule="auto"/>
        <w:jc w:val="left"/>
        <w:rPr>
          <w:rFonts w:ascii="Arial" w:hAnsi="Arial" w:eastAsia="Arial" w:cs="Arial"/>
          <w:b w:val="1"/>
          <w:bCs w:val="1"/>
          <w:noProof w:val="0"/>
          <w:sz w:val="22"/>
          <w:szCs w:val="22"/>
          <w:lang w:val="es-ES"/>
        </w:rPr>
      </w:pPr>
    </w:p>
    <w:p w:rsidR="401483D4" w:rsidP="711688CB" w:rsidRDefault="401483D4" w14:paraId="1954042D" w14:textId="0DEE0F3D">
      <w:pPr>
        <w:pStyle w:val="Normal"/>
        <w:suppressLineNumbers w:val="0"/>
        <w:bidi w:val="0"/>
        <w:spacing w:before="0" w:beforeAutospacing="off" w:after="160" w:afterAutospacing="off" w:line="278" w:lineRule="auto"/>
        <w:ind w:left="0" w:right="0"/>
        <w:jc w:val="left"/>
      </w:pPr>
      <w:r w:rsidRPr="711688CB" w:rsidR="401483D4">
        <w:rPr>
          <w:rFonts w:ascii="Arial" w:hAnsi="Arial" w:eastAsia="Arial" w:cs="Arial" w:asciiTheme="minorAscii" w:hAnsiTheme="minorAscii" w:eastAsiaTheme="minorAscii" w:cstheme="minorAscii"/>
          <w:noProof w:val="0"/>
          <w:sz w:val="22"/>
          <w:szCs w:val="22"/>
          <w:u w:val="single"/>
          <w:lang w:val="es-ES"/>
        </w:rPr>
        <w:t>Respecto al Plan de Gestión Social y documentos asociados al componente 8</w:t>
      </w:r>
      <w:r w:rsidRPr="711688CB" w:rsidR="47765C6A">
        <w:rPr>
          <w:rFonts w:ascii="Arial" w:hAnsi="Arial" w:eastAsia="Arial" w:cs="Arial" w:asciiTheme="minorAscii" w:hAnsiTheme="minorAscii" w:eastAsiaTheme="minorAscii" w:cstheme="minorAscii"/>
          <w:noProof w:val="0"/>
          <w:sz w:val="22"/>
          <w:szCs w:val="22"/>
          <w:u w:val="single"/>
          <w:lang w:val="es-ES"/>
        </w:rPr>
        <w:t>:</w:t>
      </w:r>
      <w:r w:rsidRPr="711688CB" w:rsidR="401483D4">
        <w:rPr>
          <w:rFonts w:ascii="Arial" w:hAnsi="Arial" w:eastAsia="Arial" w:cs="Arial" w:asciiTheme="minorAscii" w:hAnsiTheme="minorAscii" w:eastAsiaTheme="minorAscii" w:cstheme="minorAscii"/>
          <w:b w:val="1"/>
          <w:bCs w:val="1"/>
          <w:noProof w:val="0"/>
          <w:sz w:val="22"/>
          <w:szCs w:val="22"/>
          <w:lang w:val="es"/>
        </w:rPr>
        <w:t xml:space="preserve"> </w:t>
      </w:r>
    </w:p>
    <w:p w:rsidR="711688CB" w:rsidP="711688CB" w:rsidRDefault="711688CB" w14:paraId="13F2BCFF" w14:textId="4E6E0489">
      <w:pPr>
        <w:pStyle w:val="Normal"/>
        <w:suppressLineNumbers w:val="0"/>
        <w:bidi w:val="0"/>
        <w:spacing w:before="0" w:beforeAutospacing="off" w:after="160" w:afterAutospacing="off" w:line="278" w:lineRule="auto"/>
        <w:ind w:left="0" w:right="0"/>
        <w:jc w:val="left"/>
        <w:rPr>
          <w:rFonts w:ascii="Arial" w:hAnsi="Arial" w:eastAsia="Arial" w:cs="Arial" w:asciiTheme="minorAscii" w:hAnsiTheme="minorAscii" w:eastAsiaTheme="minorAscii" w:cstheme="minorAscii"/>
          <w:b w:val="1"/>
          <w:bCs w:val="1"/>
          <w:noProof w:val="0"/>
          <w:sz w:val="22"/>
          <w:szCs w:val="22"/>
          <w:lang w:val="es"/>
        </w:rPr>
      </w:pPr>
    </w:p>
    <w:p w:rsidR="401483D4" w:rsidP="711688CB" w:rsidRDefault="401483D4" w14:paraId="17E32507" w14:textId="588DF70B">
      <w:pPr>
        <w:spacing w:after="160" w:afterAutospacing="off" w:line="278" w:lineRule="auto"/>
        <w:jc w:val="both"/>
        <w:rPr>
          <w:rFonts w:ascii="Arial" w:hAnsi="Arial" w:eastAsia="Arial" w:cs="Arial" w:asciiTheme="minorAscii" w:hAnsiTheme="minorAscii" w:eastAsiaTheme="minorAscii" w:cstheme="minorAscii"/>
          <w:b w:val="1"/>
          <w:bCs w:val="1"/>
          <w:noProof w:val="0"/>
          <w:sz w:val="22"/>
          <w:szCs w:val="22"/>
          <w:lang w:val="es"/>
        </w:rPr>
      </w:pPr>
      <w:r w:rsidRPr="711688CB" w:rsidR="401483D4">
        <w:rPr>
          <w:rFonts w:ascii="Arial" w:hAnsi="Arial" w:eastAsia="Arial" w:cs="Arial" w:asciiTheme="minorAscii" w:hAnsiTheme="minorAscii" w:eastAsiaTheme="minorAscii" w:cstheme="minorAscii"/>
          <w:b w:val="1"/>
          <w:bCs w:val="1"/>
          <w:noProof w:val="0"/>
          <w:sz w:val="22"/>
          <w:szCs w:val="22"/>
          <w:lang w:val="es"/>
        </w:rPr>
        <w:t>1. Sobre el Plan de Gestión Social - versión final</w:t>
      </w:r>
    </w:p>
    <w:p w:rsidR="1A3E331E" w:rsidP="711688CB" w:rsidRDefault="1A3E331E" w14:paraId="440D4312" w14:textId="51909841">
      <w:pPr>
        <w:pStyle w:val="Normal"/>
        <w:bidi w:val="0"/>
        <w:spacing w:before="0" w:beforeAutospacing="off" w:after="160" w:afterAutospacing="off" w:line="278" w:lineRule="auto"/>
        <w:ind w:left="0" w:right="0"/>
        <w:jc w:val="both"/>
        <w:rPr>
          <w:rFonts w:ascii="Arial" w:hAnsi="Arial" w:eastAsia="Arial" w:cs="Arial" w:asciiTheme="minorAscii" w:hAnsiTheme="minorAscii" w:eastAsiaTheme="minorAscii" w:cstheme="minorAscii"/>
          <w:noProof w:val="0"/>
          <w:sz w:val="22"/>
          <w:szCs w:val="22"/>
          <w:lang w:val="es-ES"/>
        </w:rPr>
      </w:pPr>
      <w:r w:rsidRPr="711688CB" w:rsidR="1A3E331E">
        <w:rPr>
          <w:rFonts w:ascii="Arial" w:hAnsi="Arial" w:eastAsia="Arial" w:cs="Arial" w:asciiTheme="minorAscii" w:hAnsiTheme="minorAscii" w:eastAsiaTheme="minorAscii" w:cstheme="minorAscii"/>
          <w:noProof w:val="0"/>
          <w:sz w:val="22"/>
          <w:szCs w:val="22"/>
          <w:lang w:val="es-ES"/>
        </w:rPr>
        <w:t>El documento remitido como P</w:t>
      </w:r>
      <w:r w:rsidRPr="711688CB" w:rsidR="2DCB424B">
        <w:rPr>
          <w:rFonts w:ascii="Arial" w:hAnsi="Arial" w:eastAsia="Arial" w:cs="Arial" w:asciiTheme="minorAscii" w:hAnsiTheme="minorAscii" w:eastAsiaTheme="minorAscii" w:cstheme="minorAscii"/>
          <w:noProof w:val="0"/>
          <w:sz w:val="22"/>
          <w:szCs w:val="22"/>
          <w:lang w:val="es-ES"/>
        </w:rPr>
        <w:t xml:space="preserve">lan de Gestión social, en adelante PGS, </w:t>
      </w:r>
      <w:r w:rsidRPr="711688CB" w:rsidR="1A3E331E">
        <w:rPr>
          <w:rFonts w:ascii="Arial" w:hAnsi="Arial" w:eastAsia="Arial" w:cs="Arial" w:asciiTheme="minorAscii" w:hAnsiTheme="minorAscii" w:eastAsiaTheme="minorAscii" w:cstheme="minorAscii"/>
          <w:noProof w:val="0"/>
          <w:sz w:val="22"/>
          <w:szCs w:val="22"/>
          <w:lang w:val="es-ES"/>
        </w:rPr>
        <w:t>versión final, presenta ajustes parciales frente a las observaciones formuladas por el Ministerio el 2 y el 12 de junio de 2026, sin que las observaciones de fondo hayan sido incorporadas en su totalidad.</w:t>
      </w:r>
    </w:p>
    <w:p w:rsidR="1A3E331E" w:rsidP="711688CB" w:rsidRDefault="1A3E331E" w14:paraId="707D3D36" w14:textId="5618E88E">
      <w:pPr>
        <w:pStyle w:val="Normal"/>
        <w:bidi w:val="0"/>
        <w:spacing w:before="0" w:beforeAutospacing="off" w:after="160" w:afterAutospacing="off" w:line="278" w:lineRule="auto"/>
        <w:ind w:left="0" w:right="0"/>
        <w:jc w:val="both"/>
      </w:pPr>
      <w:r w:rsidRPr="711688CB" w:rsidR="1A3E331E">
        <w:rPr>
          <w:rFonts w:ascii="Arial" w:hAnsi="Arial" w:eastAsia="Arial" w:cs="Arial" w:asciiTheme="minorAscii" w:hAnsiTheme="minorAscii" w:eastAsiaTheme="minorAscii" w:cstheme="minorAscii"/>
          <w:noProof w:val="0"/>
          <w:sz w:val="22"/>
          <w:szCs w:val="22"/>
          <w:lang w:val="es-ES"/>
        </w:rPr>
        <w:t>El 2 de junio, el Ministerio formuló diez observaciones técnicas y metodológicas, entre las que se destacan: la ausencia de articulación entre fundamentos conceptuales y actividades; la debilidad de la caracterización social y el contexto territorial; la falta de mecanismos de escucha activa y verificación de comprensión; las deficiencias en el enfoque diferencial; el uso de denominaciones no institucionales; la ausencia de un esquema de participación de líderes comunitarios; la debilidad del seguimiento post-instalación; y la concepción del documento como soporte a la instalación técnica antes que como instrumento autónomo de gestión social.</w:t>
      </w:r>
    </w:p>
    <w:p w:rsidR="1A3E331E" w:rsidP="711688CB" w:rsidRDefault="1A3E331E" w14:paraId="248A1BF6" w14:textId="0822825E">
      <w:pPr>
        <w:pStyle w:val="Normal"/>
        <w:bidi w:val="0"/>
        <w:spacing w:before="0" w:beforeAutospacing="off" w:after="160" w:afterAutospacing="off" w:line="278" w:lineRule="auto"/>
        <w:ind w:left="0" w:right="0"/>
        <w:jc w:val="both"/>
      </w:pPr>
      <w:r w:rsidRPr="711688CB" w:rsidR="1A3E331E">
        <w:rPr>
          <w:rFonts w:ascii="Arial" w:hAnsi="Arial" w:eastAsia="Arial" w:cs="Arial" w:asciiTheme="minorAscii" w:hAnsiTheme="minorAscii" w:eastAsiaTheme="minorAscii" w:cstheme="minorAscii"/>
          <w:noProof w:val="0"/>
          <w:sz w:val="22"/>
          <w:szCs w:val="22"/>
          <w:lang w:val="es-ES"/>
        </w:rPr>
        <w:t>El 12 de junio se señaló la persistencia de ausencias ya identificadas: ninguna de las veintidós actividades del cronograma especificaba número de eventos, hogares ni duración; el cronograma Gantt carecía de temporalidad verificable; y la matriz de indicadores presentaba duplicidades en sus fórmulas de cálculo. Estas no constituían observaciones nuevas sino compromisos construidos en las reuniones del 15 de mayo y 4 de junio, consignados en actas. GECELCA reconoció las observaciones y se comprometió a incorporar los ajustes, compromiso que no se refleja integralmente en la versión remitida.</w:t>
      </w:r>
    </w:p>
    <w:p w:rsidR="1A3E331E" w:rsidP="711688CB" w:rsidRDefault="1A3E331E" w14:paraId="30F7FDF7" w14:textId="20BDCD30">
      <w:pPr>
        <w:pStyle w:val="Normal"/>
        <w:bidi w:val="0"/>
        <w:spacing w:before="0" w:beforeAutospacing="off" w:after="160" w:afterAutospacing="off" w:line="278" w:lineRule="auto"/>
        <w:ind w:left="0" w:right="0"/>
        <w:jc w:val="both"/>
      </w:pPr>
      <w:r w:rsidRPr="711688CB" w:rsidR="1A3E331E">
        <w:rPr>
          <w:rFonts w:ascii="Arial" w:hAnsi="Arial" w:eastAsia="Arial" w:cs="Arial" w:asciiTheme="minorAscii" w:hAnsiTheme="minorAscii" w:eastAsiaTheme="minorAscii" w:cstheme="minorAscii"/>
          <w:noProof w:val="0"/>
          <w:sz w:val="22"/>
          <w:szCs w:val="22"/>
          <w:lang w:val="es-ES"/>
        </w:rPr>
        <w:t>En cumplimiento de sus obligaciones como ente rector, el Ministerio socializó el 22 de abril de 2026 el PGS rector en las instalaciones de GECELCA, con presencia de la dirección del Consorcio, su profesional social y la interventoría, y desarrolló en esa misma fecha un taller demostrativo con la Junta de Acción Comunal. El PGS rector se estructura en cuatro principios (enfoque territorial, diferencial, participación y corresponsabilidad, y transparencia) y cuatro ejes operativos</w:t>
      </w:r>
      <w:r w:rsidRPr="711688CB" w:rsidR="358897F2">
        <w:rPr>
          <w:rFonts w:ascii="Arial" w:hAnsi="Arial" w:eastAsia="Arial" w:cs="Arial" w:asciiTheme="minorAscii" w:hAnsiTheme="minorAscii" w:eastAsiaTheme="minorAscii" w:cstheme="minorAscii"/>
          <w:noProof w:val="0"/>
          <w:sz w:val="22"/>
          <w:szCs w:val="22"/>
          <w:lang w:val="es-ES"/>
        </w:rPr>
        <w:t xml:space="preserve"> (</w:t>
      </w:r>
      <w:r w:rsidRPr="711688CB" w:rsidR="1A3E331E">
        <w:rPr>
          <w:rFonts w:ascii="Arial" w:hAnsi="Arial" w:eastAsia="Arial" w:cs="Arial" w:asciiTheme="minorAscii" w:hAnsiTheme="minorAscii" w:eastAsiaTheme="minorAscii" w:cstheme="minorAscii"/>
          <w:noProof w:val="0"/>
          <w:sz w:val="22"/>
          <w:szCs w:val="22"/>
          <w:lang w:val="es-ES"/>
        </w:rPr>
        <w:t>participación comunitaria, comunicación estratégica, educación energética y gestión del cambio social</w:t>
      </w:r>
      <w:r w:rsidRPr="711688CB" w:rsidR="153BB49D">
        <w:rPr>
          <w:rFonts w:ascii="Arial" w:hAnsi="Arial" w:eastAsia="Arial" w:cs="Arial" w:asciiTheme="minorAscii" w:hAnsiTheme="minorAscii" w:eastAsiaTheme="minorAscii" w:cstheme="minorAscii"/>
          <w:noProof w:val="0"/>
          <w:sz w:val="22"/>
          <w:szCs w:val="22"/>
          <w:lang w:val="es-ES"/>
        </w:rPr>
        <w:t>)</w:t>
      </w:r>
      <w:r w:rsidRPr="711688CB" w:rsidR="1A3E331E">
        <w:rPr>
          <w:rFonts w:ascii="Arial" w:hAnsi="Arial" w:eastAsia="Arial" w:cs="Arial" w:asciiTheme="minorAscii" w:hAnsiTheme="minorAscii" w:eastAsiaTheme="minorAscii" w:cstheme="minorAscii"/>
          <w:noProof w:val="0"/>
          <w:sz w:val="22"/>
          <w:szCs w:val="22"/>
          <w:lang w:val="es-ES"/>
        </w:rPr>
        <w:t>, en tres fases: preoperativa, implementación, y sostenibilidad. De igual forma, el Ministerio elaboró cuatro anexos de referencia obligatoria conforme al Parágrafo 1 del Componente 8: Identificación de grupos de interés, Gestión de grupos de interés, Matriz de riesgos y Estructura del Plan Operativo. Ninguno de estos instrumentos se evidencia recogido en el documento remitido.</w:t>
      </w:r>
    </w:p>
    <w:p w:rsidR="711688CB" w:rsidP="711688CB" w:rsidRDefault="711688CB" w14:paraId="0F3B3F3E" w14:textId="1ED1A381">
      <w:pPr>
        <w:pStyle w:val="Normal"/>
        <w:bidi w:val="0"/>
        <w:spacing w:before="0" w:beforeAutospacing="off" w:after="160" w:afterAutospacing="off" w:line="278" w:lineRule="auto"/>
        <w:ind w:left="0" w:right="0"/>
        <w:jc w:val="both"/>
        <w:rPr>
          <w:rFonts w:ascii="Arial" w:hAnsi="Arial" w:eastAsia="Arial" w:cs="Arial" w:asciiTheme="minorAscii" w:hAnsiTheme="minorAscii" w:eastAsiaTheme="minorAscii" w:cstheme="minorAscii"/>
          <w:noProof w:val="0"/>
          <w:sz w:val="22"/>
          <w:szCs w:val="22"/>
          <w:lang w:val="es-ES"/>
        </w:rPr>
      </w:pPr>
    </w:p>
    <w:p w:rsidR="401483D4" w:rsidP="711688CB" w:rsidRDefault="401483D4" w14:paraId="31E651AA" w14:textId="666FEBF0">
      <w:pPr>
        <w:spacing w:after="160" w:afterAutospacing="off" w:line="278" w:lineRule="auto"/>
        <w:jc w:val="both"/>
        <w:rPr>
          <w:rFonts w:ascii="Arial" w:hAnsi="Arial" w:eastAsia="Arial" w:cs="Arial" w:asciiTheme="minorAscii" w:hAnsiTheme="minorAscii" w:eastAsiaTheme="minorAscii" w:cstheme="minorAscii"/>
          <w:b w:val="1"/>
          <w:bCs w:val="1"/>
          <w:noProof w:val="0"/>
          <w:sz w:val="22"/>
          <w:szCs w:val="22"/>
          <w:lang w:val="es"/>
        </w:rPr>
      </w:pPr>
      <w:r w:rsidRPr="711688CB" w:rsidR="401483D4">
        <w:rPr>
          <w:rFonts w:ascii="Arial" w:hAnsi="Arial" w:eastAsia="Arial" w:cs="Arial" w:asciiTheme="minorAscii" w:hAnsiTheme="minorAscii" w:eastAsiaTheme="minorAscii" w:cstheme="minorAscii"/>
          <w:b w:val="1"/>
          <w:bCs w:val="1"/>
          <w:noProof w:val="0"/>
          <w:sz w:val="22"/>
          <w:szCs w:val="22"/>
          <w:lang w:val="es"/>
        </w:rPr>
        <w:t>2. Sobre los soportes del Componente 8 y la trazabilidad del cumplimiento contractual.</w:t>
      </w:r>
    </w:p>
    <w:p w:rsidR="7D5C7763" w:rsidP="711688CB" w:rsidRDefault="7D5C7763" w14:paraId="57422C9A" w14:textId="43D97851">
      <w:pPr>
        <w:pStyle w:val="Normal"/>
        <w:spacing w:before="0" w:beforeAutospacing="off" w:after="0" w:afterAutospacing="off"/>
        <w:ind w:left="0"/>
        <w:jc w:val="both"/>
        <w:rPr>
          <w:rFonts w:ascii="Arial" w:hAnsi="Arial" w:eastAsia="Arial" w:cs="Arial"/>
          <w:noProof w:val="0"/>
          <w:sz w:val="22"/>
          <w:szCs w:val="22"/>
          <w:lang w:val="es-ES"/>
        </w:rPr>
      </w:pPr>
      <w:r w:rsidRPr="711688CB" w:rsidR="7D5C7763">
        <w:rPr>
          <w:rFonts w:ascii="Arial" w:hAnsi="Arial" w:eastAsia="Arial" w:cs="Arial"/>
          <w:noProof w:val="0"/>
          <w:sz w:val="22"/>
          <w:szCs w:val="22"/>
          <w:lang w:val="es-ES"/>
        </w:rPr>
        <w:t>Los formatos remitidos constituyen un avance en la estandarización instrumental. No obstante, el Ministerio precisa que disponer de formatos no equivale a acreditar el cumplimiento de las obligaciones contractuales: lo que se requiere son los soportes diligenciados que den constancia de la realización efectiva de cada actividad. Como regla general aplicable a todas las obligaciones revisadas a continuación, el PGS rector del Ministerio establece que toda actividad de socialización, sensibilización, capacitación o divulgación debe contar con listado de asistencia, acta o descripción de la actividad, registro fotográfico y materiales utilizados como condición mínima de trazabilidad.</w:t>
      </w:r>
    </w:p>
    <w:p w:rsidR="7D5C7763" w:rsidP="711688CB" w:rsidRDefault="7D5C7763" w14:paraId="57DB8DE1" w14:textId="7CE2772B">
      <w:pPr>
        <w:spacing w:before="240" w:beforeAutospacing="off" w:after="240" w:afterAutospacing="off"/>
        <w:jc w:val="both"/>
        <w:rPr>
          <w:rFonts w:ascii="Arial" w:hAnsi="Arial" w:eastAsia="Arial" w:cs="Arial"/>
          <w:noProof w:val="0"/>
          <w:sz w:val="22"/>
          <w:szCs w:val="22"/>
          <w:lang w:val="es-ES"/>
        </w:rPr>
      </w:pPr>
      <w:r w:rsidRPr="711688CB" w:rsidR="7D5C7763">
        <w:rPr>
          <w:rFonts w:ascii="Arial" w:hAnsi="Arial" w:eastAsia="Arial" w:cs="Arial"/>
          <w:noProof w:val="0"/>
          <w:sz w:val="22"/>
          <w:szCs w:val="22"/>
          <w:lang w:val="es-ES"/>
        </w:rPr>
        <w:t xml:space="preserve">Obligación 8.1.3 </w:t>
      </w:r>
      <w:r w:rsidRPr="711688CB" w:rsidR="398D98A9">
        <w:rPr>
          <w:rFonts w:ascii="Arial" w:hAnsi="Arial" w:eastAsia="Arial" w:cs="Arial"/>
          <w:noProof w:val="0"/>
          <w:sz w:val="22"/>
          <w:szCs w:val="22"/>
          <w:lang w:val="es-ES"/>
        </w:rPr>
        <w:t>-</w:t>
      </w:r>
      <w:r w:rsidRPr="711688CB" w:rsidR="7D5C7763">
        <w:rPr>
          <w:rFonts w:ascii="Arial" w:hAnsi="Arial" w:eastAsia="Arial" w:cs="Arial"/>
          <w:noProof w:val="0"/>
          <w:sz w:val="22"/>
          <w:szCs w:val="22"/>
          <w:lang w:val="es-ES"/>
        </w:rPr>
        <w:t xml:space="preserve"> </w:t>
      </w:r>
      <w:r w:rsidRPr="711688CB" w:rsidR="7D5C7763">
        <w:rPr>
          <w:rFonts w:ascii="Arial" w:hAnsi="Arial" w:eastAsia="Arial" w:cs="Arial"/>
          <w:noProof w:val="0"/>
          <w:sz w:val="22"/>
          <w:szCs w:val="22"/>
          <w:lang w:val="es-ES"/>
        </w:rPr>
        <w:t>La Guía de Atención a Rumores remitida es un instrumento metodológico, pero no reemplaza la obligación de socializar formalmente las rutas de resolución de conflictos con cada familia beneficiaria. No se han remitido soportes de actividades específicas sobre este punto.</w:t>
      </w:r>
    </w:p>
    <w:p w:rsidR="7D5C7763" w:rsidP="711688CB" w:rsidRDefault="7D5C7763" w14:paraId="4260EC2A" w14:textId="55C7D896">
      <w:pPr>
        <w:spacing w:before="240" w:beforeAutospacing="off" w:after="240" w:afterAutospacing="off"/>
        <w:jc w:val="both"/>
      </w:pPr>
      <w:r w:rsidRPr="711688CB" w:rsidR="7D5C7763">
        <w:rPr>
          <w:rFonts w:ascii="Arial" w:hAnsi="Arial" w:eastAsia="Arial" w:cs="Arial"/>
          <w:noProof w:val="0"/>
          <w:sz w:val="22"/>
          <w:szCs w:val="22"/>
          <w:lang w:val="es-ES"/>
        </w:rPr>
        <w:t xml:space="preserve">Obligación 8.1.4 </w:t>
      </w:r>
      <w:r w:rsidRPr="711688CB" w:rsidR="6A9F2B38">
        <w:rPr>
          <w:rFonts w:ascii="Arial" w:hAnsi="Arial" w:eastAsia="Arial" w:cs="Arial"/>
          <w:noProof w:val="0"/>
          <w:sz w:val="22"/>
          <w:szCs w:val="22"/>
          <w:lang w:val="es-ES"/>
        </w:rPr>
        <w:t>-</w:t>
      </w:r>
      <w:r w:rsidRPr="711688CB" w:rsidR="7D5C7763">
        <w:rPr>
          <w:rFonts w:ascii="Arial" w:hAnsi="Arial" w:eastAsia="Arial" w:cs="Arial"/>
          <w:noProof w:val="0"/>
          <w:sz w:val="22"/>
          <w:szCs w:val="22"/>
          <w:lang w:val="es-ES"/>
        </w:rPr>
        <w:t xml:space="preserve"> No se evidencia soporte de actividades de sensibilización sobre la ruta técnica y requerimientos tecnológicos con las familias intervenidas. El PGS rector contempla expresamente las asambleas de inicio de instalación como espacio obligatorio para presentar el cronograma, roles y requerimientos técnicos antes del inicio de los trabajos.</w:t>
      </w:r>
    </w:p>
    <w:p w:rsidR="7D5C7763" w:rsidP="711688CB" w:rsidRDefault="7D5C7763" w14:paraId="5FD3106C" w14:textId="710DABEC">
      <w:pPr>
        <w:spacing w:before="240" w:beforeAutospacing="off" w:after="240" w:afterAutospacing="off"/>
        <w:jc w:val="both"/>
      </w:pPr>
      <w:r w:rsidRPr="711688CB" w:rsidR="7D5C7763">
        <w:rPr>
          <w:rFonts w:ascii="Arial" w:hAnsi="Arial" w:eastAsia="Arial" w:cs="Arial"/>
          <w:noProof w:val="0"/>
          <w:sz w:val="22"/>
          <w:szCs w:val="22"/>
          <w:lang w:val="es-ES"/>
        </w:rPr>
        <w:t xml:space="preserve">Obligaciones 8.2.1 a 8.2.4 </w:t>
      </w:r>
      <w:r w:rsidRPr="711688CB" w:rsidR="4871913C">
        <w:rPr>
          <w:rFonts w:ascii="Arial" w:hAnsi="Arial" w:eastAsia="Arial" w:cs="Arial"/>
          <w:noProof w:val="0"/>
          <w:sz w:val="22"/>
          <w:szCs w:val="22"/>
          <w:lang w:val="es-ES"/>
        </w:rPr>
        <w:t>-</w:t>
      </w:r>
      <w:r w:rsidRPr="711688CB" w:rsidR="7D5C7763">
        <w:rPr>
          <w:rFonts w:ascii="Arial" w:hAnsi="Arial" w:eastAsia="Arial" w:cs="Arial"/>
          <w:noProof w:val="0"/>
          <w:sz w:val="22"/>
          <w:szCs w:val="22"/>
          <w:lang w:val="es-ES"/>
        </w:rPr>
        <w:t xml:space="preserve"> </w:t>
      </w:r>
      <w:r w:rsidRPr="711688CB" w:rsidR="7D5C7763">
        <w:rPr>
          <w:rFonts w:ascii="Arial" w:hAnsi="Arial" w:eastAsia="Arial" w:cs="Arial"/>
          <w:noProof w:val="0"/>
          <w:sz w:val="22"/>
          <w:szCs w:val="22"/>
          <w:lang w:val="es-ES"/>
        </w:rPr>
        <w:t>El Test</w:t>
      </w:r>
      <w:r w:rsidRPr="711688CB" w:rsidR="7D5C7763">
        <w:rPr>
          <w:rFonts w:ascii="Arial" w:hAnsi="Arial" w:eastAsia="Arial" w:cs="Arial"/>
          <w:noProof w:val="0"/>
          <w:sz w:val="22"/>
          <w:szCs w:val="22"/>
          <w:lang w:val="es-ES"/>
        </w:rPr>
        <w:t xml:space="preserve"> de Apropiación y el Modelo de Evaluación remitidos se valoran como instrumentos de verificación, pero no se han remitido diligenciados, ni se cuenta con listados de asistencia, registros fotográficos ni materiales de las jornadas de capacitación. Ninguno de los módulos temáticos del PGS rector cuenta con evidencia de haber sido ejecutado con las 100 familias que ya tienen solución fotovoltaica instalada, siendo que el propio PGS del Consorcio establece una meta de cobertura del 100% sobre este universo.</w:t>
      </w:r>
    </w:p>
    <w:p w:rsidR="67473E5A" w:rsidP="711688CB" w:rsidRDefault="67473E5A" w14:paraId="62DDE440" w14:textId="0483E6F4">
      <w:pPr>
        <w:spacing w:before="240" w:beforeAutospacing="off" w:after="240" w:afterAutospacing="off"/>
        <w:jc w:val="both"/>
      </w:pPr>
      <w:r w:rsidRPr="711688CB" w:rsidR="67473E5A">
        <w:rPr>
          <w:rFonts w:ascii="Arial" w:hAnsi="Arial" w:eastAsia="Arial" w:cs="Arial"/>
          <w:noProof w:val="0"/>
          <w:sz w:val="22"/>
          <w:szCs w:val="22"/>
          <w:lang w:val="es-ES"/>
        </w:rPr>
        <w:t>Obligaciones 8.3.2 y 8.3.6 — Alertadas en las reuniones del 15 de mayo y 4 de junio de 2026, sin evidencia de implementación visible en los conjuntos Parques de Bolívar 1 y 2 y Villas de San Pablo Etapa 1. En el correo del 2 de junio el Ministerio señaló que la visibilidad permanente de los canales de PQRS fue determinante para la confianza comunitaria durante el piloto, y recomendó una estrategia explícita de divulgación por fase, recomendación que no se evidencia implementada.</w:t>
      </w:r>
    </w:p>
    <w:p w:rsidR="67473E5A" w:rsidP="711688CB" w:rsidRDefault="67473E5A" w14:paraId="675E7642" w14:textId="1F0A1A09">
      <w:pPr>
        <w:spacing w:before="240" w:beforeAutospacing="off" w:after="240" w:afterAutospacing="off"/>
        <w:jc w:val="both"/>
      </w:pPr>
      <w:r w:rsidRPr="711688CB" w:rsidR="67473E5A">
        <w:rPr>
          <w:rFonts w:ascii="Arial" w:hAnsi="Arial" w:eastAsia="Arial" w:cs="Arial"/>
          <w:noProof w:val="0"/>
          <w:sz w:val="22"/>
          <w:szCs w:val="22"/>
          <w:lang w:val="es-ES"/>
        </w:rPr>
        <w:t>La matriz de PQRS se valora como instrumento de registro; no obstante, relaciona casos sin adjuntar soportes que acrediten atención efectiva y cierre. El cumplimiento exige verificabilidad de la respuesta emitida, canal utilizado, tiempo de atención y constancia de cierre, conforme a la regla de 72 horas hábiles del propio PGS. Se solicita que la versión definitiva incluya, por cada caso, los soportes de la solicitud, respuesta emitida, mecanismo de atención y estado de cierre, conforme a las obligaciones 8.3.5 y 8.3.6 del contrato.</w:t>
      </w:r>
    </w:p>
    <w:p w:rsidR="711688CB" w:rsidP="711688CB" w:rsidRDefault="711688CB" w14:paraId="767C711D" w14:textId="3377CB63">
      <w:pPr>
        <w:pStyle w:val="Normal"/>
        <w:spacing w:after="160" w:afterAutospacing="off" w:line="278" w:lineRule="auto"/>
        <w:jc w:val="both"/>
        <w:rPr>
          <w:rFonts w:ascii="Arial" w:hAnsi="Arial" w:eastAsia="Arial" w:cs="Arial" w:asciiTheme="minorAscii" w:hAnsiTheme="minorAscii" w:eastAsiaTheme="minorAscii" w:cstheme="minorAscii"/>
          <w:noProof w:val="0"/>
          <w:sz w:val="22"/>
          <w:szCs w:val="22"/>
          <w:lang w:val="es-ES"/>
        </w:rPr>
      </w:pPr>
    </w:p>
    <w:p w:rsidR="64F577C4" w:rsidP="711688CB" w:rsidRDefault="64F577C4" w14:paraId="05DC8D94" w14:textId="53C6850B">
      <w:pPr>
        <w:pStyle w:val="Normal"/>
        <w:spacing w:after="160" w:afterAutospacing="off" w:line="278" w:lineRule="auto"/>
        <w:jc w:val="both"/>
        <w:rPr>
          <w:rFonts w:ascii="Arial" w:hAnsi="Arial" w:eastAsia="Arial" w:cs="Arial" w:asciiTheme="minorAscii" w:hAnsiTheme="minorAscii" w:eastAsiaTheme="minorAscii" w:cstheme="minorAscii"/>
          <w:b w:val="1"/>
          <w:bCs w:val="1"/>
          <w:noProof w:val="0"/>
          <w:sz w:val="22"/>
          <w:szCs w:val="22"/>
          <w:lang w:val="es-ES"/>
        </w:rPr>
      </w:pPr>
      <w:r w:rsidRPr="711688CB" w:rsidR="64F577C4">
        <w:rPr>
          <w:rFonts w:ascii="Arial" w:hAnsi="Arial" w:eastAsia="Arial" w:cs="Arial" w:asciiTheme="minorAscii" w:hAnsiTheme="minorAscii" w:eastAsiaTheme="minorAscii" w:cstheme="minorAscii"/>
          <w:b w:val="1"/>
          <w:bCs w:val="1"/>
          <w:noProof w:val="0"/>
          <w:sz w:val="22"/>
          <w:szCs w:val="22"/>
          <w:lang w:val="es-ES"/>
        </w:rPr>
        <w:t>Respecto a los aspectos d</w:t>
      </w:r>
      <w:r w:rsidRPr="711688CB" w:rsidR="64F577C4">
        <w:rPr>
          <w:rFonts w:ascii="Arial" w:hAnsi="Arial" w:eastAsia="Arial" w:cs="Arial" w:asciiTheme="minorAscii" w:hAnsiTheme="minorAscii" w:eastAsiaTheme="minorAscii" w:cstheme="minorAscii"/>
          <w:b w:val="1"/>
          <w:bCs w:val="1"/>
          <w:noProof w:val="0"/>
          <w:sz w:val="22"/>
          <w:szCs w:val="22"/>
          <w:lang w:val="es-ES"/>
        </w:rPr>
        <w:t xml:space="preserve">e </w:t>
      </w:r>
      <w:r w:rsidRPr="711688CB" w:rsidR="2F8A9B2D">
        <w:rPr>
          <w:rFonts w:ascii="Arial" w:hAnsi="Arial" w:eastAsia="Arial" w:cs="Arial" w:asciiTheme="minorAscii" w:hAnsiTheme="minorAscii" w:eastAsiaTheme="minorAscii" w:cstheme="minorAscii"/>
          <w:b w:val="1"/>
          <w:bCs w:val="1"/>
          <w:noProof w:val="0"/>
          <w:sz w:val="22"/>
          <w:szCs w:val="22"/>
          <w:lang w:val="es-ES"/>
        </w:rPr>
        <w:t>d</w:t>
      </w:r>
      <w:r w:rsidRPr="711688CB" w:rsidR="64F577C4">
        <w:rPr>
          <w:rFonts w:ascii="Arial" w:hAnsi="Arial" w:eastAsia="Arial" w:cs="Arial" w:asciiTheme="minorAscii" w:hAnsiTheme="minorAscii" w:eastAsiaTheme="minorAscii" w:cstheme="minorAscii"/>
          <w:b w:val="1"/>
          <w:bCs w:val="1"/>
          <w:noProof w:val="0"/>
          <w:sz w:val="22"/>
          <w:szCs w:val="22"/>
          <w:lang w:val="es-ES"/>
        </w:rPr>
        <w:t xml:space="preserve">ivulgación y </w:t>
      </w:r>
      <w:r w:rsidRPr="711688CB" w:rsidR="64F577C4">
        <w:rPr>
          <w:rFonts w:ascii="Arial" w:hAnsi="Arial" w:eastAsia="Arial" w:cs="Arial" w:asciiTheme="minorAscii" w:hAnsiTheme="minorAscii" w:eastAsiaTheme="minorAscii" w:cstheme="minorAscii"/>
          <w:b w:val="1"/>
          <w:bCs w:val="1"/>
          <w:noProof w:val="0"/>
          <w:sz w:val="22"/>
          <w:szCs w:val="22"/>
          <w:lang w:val="es-ES"/>
        </w:rPr>
        <w:t>marca:</w:t>
      </w:r>
      <w:r w:rsidRPr="711688CB" w:rsidR="64F577C4">
        <w:rPr>
          <w:rFonts w:ascii="Arial" w:hAnsi="Arial" w:eastAsia="Arial" w:cs="Arial" w:asciiTheme="minorAscii" w:hAnsiTheme="minorAscii" w:eastAsiaTheme="minorAscii" w:cstheme="minorAscii"/>
          <w:b w:val="1"/>
          <w:bCs w:val="1"/>
          <w:noProof w:val="0"/>
          <w:sz w:val="22"/>
          <w:szCs w:val="22"/>
          <w:lang w:val="es-ES"/>
        </w:rPr>
        <w:t xml:space="preserve"> </w:t>
      </w:r>
    </w:p>
    <w:p w:rsidR="33065DD0" w:rsidP="711688CB" w:rsidRDefault="33065DD0" w14:paraId="4A618504" w14:textId="156EDFC4">
      <w:pPr>
        <w:pStyle w:val="Normal"/>
        <w:spacing w:after="160" w:afterAutospacing="off" w:line="278" w:lineRule="auto"/>
        <w:jc w:val="both"/>
      </w:pPr>
      <w:r w:rsidRPr="711688CB" w:rsidR="33065DD0">
        <w:rPr>
          <w:rFonts w:ascii="Arial" w:hAnsi="Arial" w:eastAsia="Arial" w:cs="Arial" w:asciiTheme="minorAscii" w:hAnsiTheme="minorAscii" w:eastAsiaTheme="minorAscii" w:cstheme="minorAscii"/>
          <w:noProof w:val="0"/>
          <w:sz w:val="22"/>
          <w:szCs w:val="22"/>
          <w:lang w:val="es-ES"/>
        </w:rPr>
        <w:t xml:space="preserve">Obligaciones 8.3.2, 8.3.3, 8.3.7, 8.3.8 y 8.3.9 </w:t>
      </w:r>
      <w:r w:rsidRPr="711688CB" w:rsidR="1BD24CE9">
        <w:rPr>
          <w:rFonts w:ascii="Arial" w:hAnsi="Arial" w:eastAsia="Arial" w:cs="Arial" w:asciiTheme="minorAscii" w:hAnsiTheme="minorAscii" w:eastAsiaTheme="minorAscii" w:cstheme="minorAscii"/>
          <w:noProof w:val="0"/>
          <w:sz w:val="22"/>
          <w:szCs w:val="22"/>
          <w:lang w:val="es-ES"/>
        </w:rPr>
        <w:t xml:space="preserve">- </w:t>
      </w:r>
      <w:r w:rsidRPr="711688CB" w:rsidR="33065DD0">
        <w:rPr>
          <w:rFonts w:ascii="Arial" w:hAnsi="Arial" w:eastAsia="Arial" w:cs="Arial" w:asciiTheme="minorAscii" w:hAnsiTheme="minorAscii" w:eastAsiaTheme="minorAscii" w:cstheme="minorAscii"/>
          <w:noProof w:val="0"/>
          <w:sz w:val="22"/>
          <w:szCs w:val="22"/>
          <w:lang w:val="es-ES"/>
        </w:rPr>
        <w:t>Infraestructura de información y divulgación en terreno, material de comunicación bajo lineamientos del Ministerio, y divulgación de cambios técnicos, objetivos, beneficios e impactos del programa.</w:t>
      </w:r>
    </w:p>
    <w:p w:rsidR="33065DD0" w:rsidP="711688CB" w:rsidRDefault="33065DD0" w14:paraId="36E4F901" w14:textId="6D64CE61">
      <w:pPr>
        <w:pStyle w:val="Normal"/>
        <w:spacing w:after="160" w:afterAutospacing="off" w:line="278" w:lineRule="auto"/>
        <w:jc w:val="both"/>
      </w:pPr>
      <w:r w:rsidRPr="711688CB" w:rsidR="33065DD0">
        <w:rPr>
          <w:rFonts w:ascii="Arial" w:hAnsi="Arial" w:eastAsia="Arial" w:cs="Arial" w:asciiTheme="minorAscii" w:hAnsiTheme="minorAscii" w:eastAsiaTheme="minorAscii" w:cstheme="minorAscii"/>
          <w:noProof w:val="0"/>
          <w:sz w:val="22"/>
          <w:szCs w:val="22"/>
          <w:lang w:val="es-ES"/>
        </w:rPr>
        <w:t xml:space="preserve">Las piezas remitidas </w:t>
      </w:r>
      <w:r w:rsidRPr="711688CB" w:rsidR="66333EBB">
        <w:rPr>
          <w:rFonts w:ascii="Arial" w:hAnsi="Arial" w:eastAsia="Arial" w:cs="Arial" w:asciiTheme="minorAscii" w:hAnsiTheme="minorAscii" w:eastAsiaTheme="minorAscii" w:cstheme="minorAscii"/>
          <w:noProof w:val="0"/>
          <w:sz w:val="22"/>
          <w:szCs w:val="22"/>
          <w:lang w:val="es-ES"/>
        </w:rPr>
        <w:t>(</w:t>
      </w:r>
      <w:r w:rsidRPr="711688CB" w:rsidR="33065DD0">
        <w:rPr>
          <w:rFonts w:ascii="Arial" w:hAnsi="Arial" w:eastAsia="Arial" w:cs="Arial" w:asciiTheme="minorAscii" w:hAnsiTheme="minorAscii" w:eastAsiaTheme="minorAscii" w:cstheme="minorAscii"/>
          <w:noProof w:val="0"/>
          <w:sz w:val="22"/>
          <w:szCs w:val="22"/>
          <w:lang w:val="es-ES"/>
        </w:rPr>
        <w:t>flyer</w:t>
      </w:r>
      <w:r w:rsidRPr="711688CB" w:rsidR="33065DD0">
        <w:rPr>
          <w:rFonts w:ascii="Arial" w:hAnsi="Arial" w:eastAsia="Arial" w:cs="Arial" w:asciiTheme="minorAscii" w:hAnsiTheme="minorAscii" w:eastAsiaTheme="minorAscii" w:cstheme="minorAscii"/>
          <w:noProof w:val="0"/>
          <w:sz w:val="22"/>
          <w:szCs w:val="22"/>
          <w:lang w:val="es-ES"/>
        </w:rPr>
        <w:t>, canales de atención y cartilla de preguntas frecuentes</w:t>
      </w:r>
      <w:r w:rsidRPr="711688CB" w:rsidR="4C6BE327">
        <w:rPr>
          <w:rFonts w:ascii="Arial" w:hAnsi="Arial" w:eastAsia="Arial" w:cs="Arial" w:asciiTheme="minorAscii" w:hAnsiTheme="minorAscii" w:eastAsiaTheme="minorAscii" w:cstheme="minorAscii"/>
          <w:noProof w:val="0"/>
          <w:sz w:val="22"/>
          <w:szCs w:val="22"/>
          <w:lang w:val="es-ES"/>
        </w:rPr>
        <w:t>)</w:t>
      </w:r>
      <w:r w:rsidRPr="711688CB" w:rsidR="33065DD0">
        <w:rPr>
          <w:rFonts w:ascii="Arial" w:hAnsi="Arial" w:eastAsia="Arial" w:cs="Arial" w:asciiTheme="minorAscii" w:hAnsiTheme="minorAscii" w:eastAsiaTheme="minorAscii" w:cstheme="minorAscii"/>
          <w:noProof w:val="0"/>
          <w:sz w:val="22"/>
          <w:szCs w:val="22"/>
          <w:lang w:val="es-ES"/>
        </w:rPr>
        <w:t xml:space="preserve"> no acreditan haber sido elaboradas bajo los lineamientos de identidad visual del Ministerio. </w:t>
      </w:r>
    </w:p>
    <w:p w:rsidR="1907E8DF" w:rsidP="711688CB" w:rsidRDefault="1907E8DF" w14:paraId="2C20477C" w14:textId="5C813B5C">
      <w:pPr>
        <w:pStyle w:val="Normal"/>
        <w:spacing w:after="160" w:afterAutospacing="off" w:line="278" w:lineRule="auto"/>
        <w:jc w:val="both"/>
      </w:pPr>
      <w:r w:rsidRPr="711688CB" w:rsidR="1907E8DF">
        <w:rPr>
          <w:rFonts w:ascii="Arial" w:hAnsi="Arial" w:eastAsia="Arial" w:cs="Arial" w:asciiTheme="minorAscii" w:hAnsiTheme="minorAscii" w:eastAsiaTheme="minorAscii" w:cstheme="minorAscii"/>
          <w:noProof w:val="0"/>
          <w:sz w:val="22"/>
          <w:szCs w:val="22"/>
          <w:lang w:val="es-ES"/>
        </w:rPr>
        <w:t>En mayo de 2026, la Oficina de Comunicaciones del Ministerio compartió a GECELCA el Plan de Comunicaciones del Programa Colombia Solar en el Atlántico, con sus anexos y el Manual de Identidad Visual específico para Colombia Solar, instrumentos que establecen la línea comunicativa institucional, tipografía, colorimetría, criterios de diseño de piezas, uso correcto de logos y ejemplos de piezas validadas. Ninguno de estos lineamientos ha sido recogido en el PGS, sus anexos ni en las piezas evidenciadas en la implementación. Adicionalmente, no se ha remitido evidencia de disposición física de materiales en los puntos de intervención ni soportes de jornadas de divulgación realizadas con los usuarios beneficiados.</w:t>
      </w:r>
    </w:p>
    <w:p w:rsidR="73F106E2" w:rsidP="711688CB" w:rsidRDefault="73F106E2" w14:paraId="46F3EA73" w14:textId="4D50685C">
      <w:pPr>
        <w:spacing w:after="200" w:line="240" w:lineRule="auto"/>
        <w:jc w:val="both"/>
        <w:rPr>
          <w:rFonts w:ascii="Work Sans" w:hAnsi="Work Sans" w:eastAsia="Work Sans" w:cs="Work Sans"/>
          <w:b w:val="0"/>
          <w:bCs w:val="0"/>
          <w:i w:val="0"/>
          <w:iCs w:val="0"/>
          <w:caps w:val="0"/>
          <w:smallCaps w:val="0"/>
          <w:noProof w:val="0"/>
          <w:color w:val="D13438"/>
          <w:sz w:val="24"/>
          <w:szCs w:val="24"/>
          <w:lang w:val="es-ES"/>
        </w:rPr>
      </w:pP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En ese sentido, se pudo constatar la ausencia de logos institucionales </w:t>
      </w:r>
      <w:r w:rsidRPr="711688CB" w:rsidR="22CF32AB">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y signos distintivos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en los</w:t>
      </w:r>
      <w:r w:rsidRPr="711688CB" w:rsidR="7C913284">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diferentes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formatos de soporte y complemento del Plan de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Gestion</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Social conforme a lo estipulado en la Ley 2345 de 2023, es en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razon</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a ello que nos es pertinente enten</w:t>
      </w:r>
      <w:r w:rsidRPr="711688CB" w:rsidR="15651569">
        <w:rPr>
          <w:rFonts w:ascii="Work Sans" w:hAnsi="Work Sans" w:eastAsia="Work Sans" w:cs="Work Sans"/>
          <w:b w:val="0"/>
          <w:bCs w:val="0"/>
          <w:i w:val="0"/>
          <w:iCs w:val="0"/>
          <w:caps w:val="0"/>
          <w:smallCaps w:val="0"/>
          <w:strike w:val="0"/>
          <w:dstrike w:val="0"/>
          <w:noProof w:val="0"/>
          <w:color w:val="D13438"/>
          <w:sz w:val="24"/>
          <w:szCs w:val="24"/>
          <w:u w:val="single"/>
          <w:lang w:val="es-ES"/>
        </w:rPr>
        <w:t>d</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er que la identidad visual no es un aspecto accesorio, pues permite dar pleno cumplimiento y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aplicacion</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a los principios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escenciales</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del estado de  transparencia</w:t>
      </w:r>
      <w:r w:rsidRPr="711688CB" w:rsidR="0D42CA21">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y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publicidad </w:t>
      </w:r>
      <w:r w:rsidRPr="711688CB" w:rsidR="6E53DB0A">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w:t>
      </w:r>
      <w:r w:rsidRPr="711688CB" w:rsidR="6E53DB0A">
        <w:rPr>
          <w:rFonts w:ascii="Work Sans" w:hAnsi="Work Sans" w:eastAsia="Work Sans" w:cs="Work Sans"/>
          <w:b w:val="0"/>
          <w:bCs w:val="0"/>
          <w:i w:val="0"/>
          <w:iCs w:val="0"/>
          <w:caps w:val="0"/>
          <w:smallCaps w:val="0"/>
          <w:strike w:val="0"/>
          <w:dstrike w:val="0"/>
          <w:noProof w:val="0"/>
          <w:color w:val="D13438"/>
          <w:sz w:val="24"/>
          <w:szCs w:val="24"/>
          <w:u w:val="single"/>
          <w:lang w:val="es-ES"/>
        </w:rPr>
        <w:t>co</w:t>
      </w:r>
      <w:r w:rsidRPr="711688CB" w:rsidR="6E53DB0A">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ello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da fe de la trazabilidad, información al ciudadano, prevención de suplantación, seguridad en campo, control de piezas comunicacionales y delimitación de responsabilidades.</w:t>
      </w:r>
    </w:p>
    <w:p w:rsidR="73F106E2" w:rsidP="711688CB" w:rsidRDefault="73F106E2" w14:paraId="1A56FC36" w14:textId="5D8A6ABA">
      <w:pPr>
        <w:spacing w:after="200" w:line="240" w:lineRule="auto"/>
        <w:jc w:val="both"/>
        <w:rPr>
          <w:rFonts w:ascii="Work Sans" w:hAnsi="Work Sans" w:eastAsia="Work Sans" w:cs="Work Sans"/>
          <w:b w:val="0"/>
          <w:bCs w:val="0"/>
          <w:i w:val="0"/>
          <w:iCs w:val="0"/>
          <w:caps w:val="0"/>
          <w:smallCaps w:val="0"/>
          <w:strike w:val="0"/>
          <w:dstrike w:val="0"/>
          <w:noProof w:val="0"/>
          <w:color w:val="D13438"/>
          <w:sz w:val="24"/>
          <w:szCs w:val="24"/>
          <w:u w:val="single"/>
          <w:lang w:val="es-ES"/>
        </w:rPr>
      </w:pP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El Contrato asigna al Ministerio la definición de la identidad visual oficial del Programa Colombia Solar y de los parámetros gráficos para vallas y piezas de comunicación. A su vez, GECELCA debe ejecutar la divulgación local y disponer material de comunicación elaborado bajo los lineamientos del Ministerio. Por tanto, GECELCA y el Consorcio no pueden usar frente a beneficiarios formatos, cartas, cartillas, pendones, piezas digitales, dotación o carnés sin la identidad institucional validada por el Ministerio, ni sustituir dicha identidad por imagen corporativa propia</w:t>
      </w:r>
      <w:r w:rsidRPr="711688CB" w:rsidR="120FD150">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y muchos menos disponer y/o </w:t>
      </w:r>
      <w:r w:rsidRPr="711688CB" w:rsidR="120FD150">
        <w:rPr>
          <w:rFonts w:ascii="Work Sans" w:hAnsi="Work Sans" w:eastAsia="Work Sans" w:cs="Work Sans"/>
          <w:b w:val="0"/>
          <w:bCs w:val="0"/>
          <w:i w:val="0"/>
          <w:iCs w:val="0"/>
          <w:caps w:val="0"/>
          <w:smallCaps w:val="0"/>
          <w:strike w:val="0"/>
          <w:dstrike w:val="0"/>
          <w:noProof w:val="0"/>
          <w:color w:val="D13438"/>
          <w:sz w:val="24"/>
          <w:szCs w:val="24"/>
          <w:u w:val="single"/>
          <w:lang w:val="es-ES"/>
        </w:rPr>
        <w:t>utilizr</w:t>
      </w:r>
      <w:r w:rsidRPr="711688CB" w:rsidR="120FD150">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solamente los logos </w:t>
      </w:r>
      <w:r w:rsidRPr="711688CB" w:rsidR="120FD150">
        <w:rPr>
          <w:rFonts w:ascii="Work Sans" w:hAnsi="Work Sans" w:eastAsia="Work Sans" w:cs="Work Sans"/>
          <w:b w:val="0"/>
          <w:bCs w:val="0"/>
          <w:i w:val="0"/>
          <w:iCs w:val="0"/>
          <w:caps w:val="0"/>
          <w:smallCaps w:val="0"/>
          <w:strike w:val="0"/>
          <w:dstrike w:val="0"/>
          <w:noProof w:val="0"/>
          <w:color w:val="D13438"/>
          <w:sz w:val="24"/>
          <w:szCs w:val="24"/>
          <w:u w:val="single"/>
          <w:lang w:val="es-ES"/>
        </w:rPr>
        <w:t>publicos</w:t>
      </w:r>
      <w:r w:rsidRPr="711688CB" w:rsidR="120FD150">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institucionales de los programas </w:t>
      </w:r>
      <w:r w:rsidRPr="711688CB" w:rsidR="120FD150">
        <w:rPr>
          <w:rFonts w:ascii="Work Sans" w:hAnsi="Work Sans" w:eastAsia="Work Sans" w:cs="Work Sans"/>
          <w:b w:val="0"/>
          <w:bCs w:val="0"/>
          <w:i w:val="0"/>
          <w:iCs w:val="0"/>
          <w:caps w:val="0"/>
          <w:smallCaps w:val="0"/>
          <w:strike w:val="0"/>
          <w:dstrike w:val="0"/>
          <w:noProof w:val="0"/>
          <w:color w:val="D13438"/>
          <w:sz w:val="24"/>
          <w:szCs w:val="24"/>
          <w:u w:val="single"/>
          <w:lang w:val="es-ES"/>
        </w:rPr>
        <w:t>estateles</w:t>
      </w:r>
      <w:r w:rsidRPr="711688CB" w:rsidR="120FD150">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 pues con ello inducen a errores a la comunidad </w:t>
      </w:r>
      <w:r w:rsidRPr="711688CB" w:rsidR="1BBF9FDE">
        <w:rPr>
          <w:rFonts w:ascii="Work Sans" w:hAnsi="Work Sans" w:eastAsia="Work Sans" w:cs="Work Sans"/>
          <w:b w:val="0"/>
          <w:bCs w:val="0"/>
          <w:i w:val="0"/>
          <w:iCs w:val="0"/>
          <w:caps w:val="0"/>
          <w:smallCaps w:val="0"/>
          <w:strike w:val="0"/>
          <w:dstrike w:val="0"/>
          <w:noProof w:val="0"/>
          <w:color w:val="D13438"/>
          <w:sz w:val="24"/>
          <w:szCs w:val="24"/>
          <w:u w:val="single"/>
          <w:lang w:val="es-ES"/>
        </w:rPr>
        <w:t>objeto del progama estatal</w:t>
      </w:r>
    </w:p>
    <w:p w:rsidR="73F106E2" w:rsidP="711688CB" w:rsidRDefault="73F106E2" w14:paraId="1073F317" w14:textId="132669A9">
      <w:pPr>
        <w:spacing w:after="200" w:line="240" w:lineRule="auto"/>
        <w:jc w:val="both"/>
        <w:rPr>
          <w:rFonts w:ascii="Work Sans" w:hAnsi="Work Sans" w:eastAsia="Work Sans" w:cs="Work Sans"/>
          <w:b w:val="0"/>
          <w:bCs w:val="0"/>
          <w:i w:val="0"/>
          <w:iCs w:val="0"/>
          <w:caps w:val="0"/>
          <w:smallCaps w:val="0"/>
          <w:noProof w:val="0"/>
          <w:color w:val="D13438"/>
          <w:sz w:val="24"/>
          <w:szCs w:val="24"/>
          <w:lang w:val="es-ES"/>
        </w:rPr>
      </w:pP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En ese sentido, a las pizas complementarias del Plan de Gestion Social se deberan aplicar las siguientes reglas:</w:t>
      </w:r>
    </w:p>
    <w:p w:rsidR="73F106E2" w:rsidP="711688CB" w:rsidRDefault="73F106E2" w14:paraId="74D4CFFC" w14:textId="2A94D5D0">
      <w:pPr>
        <w:spacing w:after="200" w:line="240" w:lineRule="auto"/>
        <w:jc w:val="both"/>
        <w:rPr>
          <w:rFonts w:ascii="Work Sans" w:hAnsi="Work Sans" w:eastAsia="Work Sans" w:cs="Work Sans"/>
          <w:b w:val="0"/>
          <w:bCs w:val="0"/>
          <w:i w:val="0"/>
          <w:iCs w:val="0"/>
          <w:caps w:val="0"/>
          <w:smallCaps w:val="0"/>
          <w:strike w:val="0"/>
          <w:dstrike w:val="0"/>
          <w:noProof w:val="0"/>
          <w:color w:val="D13438"/>
          <w:sz w:val="24"/>
          <w:szCs w:val="24"/>
          <w:u w:val="single"/>
          <w:lang w:val="es-ES"/>
        </w:rPr>
      </w:pP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Identidad principal: Ministerio de Minas y Energía y Programa Colombia Solar, conforme al Manual de Identidad Visual y a los lineamientos impart</w:t>
      </w:r>
      <w:r w:rsidRPr="711688CB" w:rsidR="74BFB794">
        <w:rPr>
          <w:rFonts w:ascii="Work Sans" w:hAnsi="Work Sans" w:eastAsia="Work Sans" w:cs="Work Sans"/>
          <w:b w:val="0"/>
          <w:bCs w:val="0"/>
          <w:i w:val="0"/>
          <w:iCs w:val="0"/>
          <w:caps w:val="0"/>
          <w:smallCaps w:val="0"/>
          <w:strike w:val="0"/>
          <w:dstrike w:val="0"/>
          <w:noProof w:val="0"/>
          <w:color w:val="D13438"/>
          <w:sz w:val="24"/>
          <w:szCs w:val="24"/>
          <w:u w:val="single"/>
          <w:lang w:val="es-ES"/>
        </w:rPr>
        <w:t>i</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dos </w:t>
      </w:r>
      <w:r w:rsidRPr="711688CB" w:rsidR="56830D6D">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en el Plan de </w:t>
      </w:r>
      <w:r w:rsidRPr="711688CB" w:rsidR="56830D6D">
        <w:rPr>
          <w:rFonts w:ascii="Work Sans" w:hAnsi="Work Sans" w:eastAsia="Work Sans" w:cs="Work Sans"/>
          <w:b w:val="0"/>
          <w:bCs w:val="0"/>
          <w:i w:val="0"/>
          <w:iCs w:val="0"/>
          <w:caps w:val="0"/>
          <w:smallCaps w:val="0"/>
          <w:strike w:val="0"/>
          <w:dstrike w:val="0"/>
          <w:noProof w:val="0"/>
          <w:color w:val="D13438"/>
          <w:sz w:val="24"/>
          <w:szCs w:val="24"/>
          <w:u w:val="single"/>
          <w:lang w:val="es-ES"/>
        </w:rPr>
        <w:t>gestion</w:t>
      </w:r>
      <w:r w:rsidRPr="711688CB" w:rsidR="56830D6D">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w:t>
      </w:r>
      <w:r w:rsidRPr="711688CB" w:rsidR="56830D6D">
        <w:rPr>
          <w:rFonts w:ascii="Work Sans" w:hAnsi="Work Sans" w:eastAsia="Work Sans" w:cs="Work Sans"/>
          <w:b w:val="0"/>
          <w:bCs w:val="0"/>
          <w:i w:val="0"/>
          <w:iCs w:val="0"/>
          <w:caps w:val="0"/>
          <w:smallCaps w:val="0"/>
          <w:strike w:val="0"/>
          <w:dstrike w:val="0"/>
          <w:noProof w:val="0"/>
          <w:color w:val="D13438"/>
          <w:sz w:val="24"/>
          <w:szCs w:val="24"/>
          <w:u w:val="single"/>
          <w:lang w:val="es-ES"/>
        </w:rPr>
        <w:t>Social  y</w:t>
      </w:r>
      <w:r w:rsidRPr="711688CB" w:rsidR="56830D6D">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manual de identidad visual del Ministerio de Minas y Energia</w:t>
      </w:r>
    </w:p>
    <w:p w:rsidR="73F106E2" w:rsidP="711688CB" w:rsidRDefault="73F106E2" w14:paraId="5C605E85" w14:textId="06A38092">
      <w:pPr>
        <w:spacing w:after="200" w:line="240" w:lineRule="auto"/>
        <w:jc w:val="both"/>
        <w:rPr>
          <w:rFonts w:ascii="Work Sans" w:hAnsi="Work Sans" w:eastAsia="Work Sans" w:cs="Work Sans"/>
          <w:b w:val="0"/>
          <w:bCs w:val="0"/>
          <w:i w:val="0"/>
          <w:iCs w:val="0"/>
          <w:caps w:val="0"/>
          <w:smallCaps w:val="0"/>
          <w:strike w:val="0"/>
          <w:dstrike w:val="0"/>
          <w:noProof w:val="0"/>
          <w:color w:val="D13438"/>
          <w:sz w:val="24"/>
          <w:szCs w:val="24"/>
          <w:u w:val="single"/>
          <w:lang w:val="es-ES"/>
        </w:rPr>
      </w:pP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Identificación complementaria:</w:t>
      </w:r>
      <w:r w:rsidRPr="711688CB" w:rsidR="0AA07F8D">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los logos </w:t>
      </w:r>
      <w:r w:rsidRPr="711688CB" w:rsidR="0AA07F8D">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de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GECELCA</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y </w:t>
      </w:r>
      <w:r w:rsidRPr="711688CB" w:rsidR="6F77E440">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el contratista </w:t>
      </w:r>
      <w:r w:rsidRPr="711688CB" w:rsidR="6F77E440">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derivado,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deben</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w:t>
      </w:r>
      <w:r w:rsidRPr="711688CB" w:rsidR="116F5205">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estar presentes en las piezas informativas y </w:t>
      </w:r>
      <w:r w:rsidRPr="711688CB" w:rsidR="116F5205">
        <w:rPr>
          <w:rFonts w:ascii="Work Sans" w:hAnsi="Work Sans" w:eastAsia="Work Sans" w:cs="Work Sans"/>
          <w:b w:val="0"/>
          <w:bCs w:val="0"/>
          <w:i w:val="0"/>
          <w:iCs w:val="0"/>
          <w:caps w:val="0"/>
          <w:smallCaps w:val="0"/>
          <w:strike w:val="0"/>
          <w:dstrike w:val="0"/>
          <w:noProof w:val="0"/>
          <w:color w:val="D13438"/>
          <w:sz w:val="24"/>
          <w:szCs w:val="24"/>
          <w:u w:val="single"/>
          <w:lang w:val="es-ES"/>
        </w:rPr>
        <w:t>demas</w:t>
      </w:r>
      <w:r w:rsidRPr="711688CB" w:rsidR="116F5205">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documentos complementarios del PGS, ello con</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fines de transparencia, seguridad en campo, atención ciudadana</w:t>
      </w:r>
      <w:r w:rsidRPr="711688CB" w:rsidR="22665F67">
        <w:rPr>
          <w:rFonts w:ascii="Work Sans" w:hAnsi="Work Sans" w:eastAsia="Work Sans" w:cs="Work Sans"/>
          <w:b w:val="0"/>
          <w:bCs w:val="0"/>
          <w:i w:val="0"/>
          <w:iCs w:val="0"/>
          <w:caps w:val="0"/>
          <w:smallCaps w:val="0"/>
          <w:strike w:val="0"/>
          <w:dstrike w:val="0"/>
          <w:noProof w:val="0"/>
          <w:color w:val="D13438"/>
          <w:sz w:val="24"/>
          <w:szCs w:val="24"/>
          <w:u w:val="single"/>
          <w:lang w:val="es-ES"/>
        </w:rPr>
        <w:t>,</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identificación del ejecutor, </w:t>
      </w:r>
      <w:r w:rsidRPr="711688CB" w:rsidR="1029E886">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y </w:t>
      </w:r>
      <w:r w:rsidRPr="711688CB" w:rsidR="14E853AD">
        <w:rPr>
          <w:rFonts w:ascii="Work Sans" w:hAnsi="Work Sans" w:eastAsia="Work Sans" w:cs="Work Sans"/>
          <w:b w:val="0"/>
          <w:bCs w:val="0"/>
          <w:i w:val="0"/>
          <w:iCs w:val="0"/>
          <w:caps w:val="0"/>
          <w:smallCaps w:val="0"/>
          <w:strike w:val="0"/>
          <w:dstrike w:val="0"/>
          <w:noProof w:val="0"/>
          <w:color w:val="D13438"/>
          <w:sz w:val="24"/>
          <w:szCs w:val="24"/>
          <w:u w:val="single"/>
          <w:lang w:val="es-ES"/>
        </w:rPr>
        <w:t>definición</w:t>
      </w:r>
      <w:r w:rsidRPr="711688CB" w:rsidR="1029E886">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de responsabilidades</w:t>
      </w:r>
      <w:r w:rsidRPr="711688CB" w:rsidR="13DAE8A4">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en </w:t>
      </w:r>
      <w:r w:rsidRPr="711688CB" w:rsidR="13DAE8A4">
        <w:rPr>
          <w:rFonts w:ascii="Work Sans" w:hAnsi="Work Sans" w:eastAsia="Work Sans" w:cs="Work Sans"/>
          <w:b w:val="0"/>
          <w:bCs w:val="0"/>
          <w:i w:val="0"/>
          <w:iCs w:val="0"/>
          <w:caps w:val="0"/>
          <w:smallCaps w:val="0"/>
          <w:strike w:val="0"/>
          <w:dstrike w:val="0"/>
          <w:noProof w:val="0"/>
          <w:color w:val="D13438"/>
          <w:sz w:val="24"/>
          <w:szCs w:val="24"/>
          <w:u w:val="single"/>
          <w:lang w:val="es-ES"/>
        </w:rPr>
        <w:t>aplicacion</w:t>
      </w:r>
      <w:r w:rsidRPr="711688CB" w:rsidR="13DAE8A4">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de los principios esenciales del estado y estricto cumplimiento de la Ley 2345 de 2023</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w:t>
      </w:r>
    </w:p>
    <w:p w:rsidR="73F106E2" w:rsidP="711688CB" w:rsidRDefault="73F106E2" w14:paraId="1C400EA9" w14:textId="2642BC36">
      <w:pPr>
        <w:spacing w:after="200" w:line="240" w:lineRule="auto"/>
        <w:jc w:val="both"/>
        <w:rPr>
          <w:rFonts w:ascii="Work Sans" w:hAnsi="Work Sans" w:eastAsia="Work Sans" w:cs="Work Sans"/>
          <w:b w:val="0"/>
          <w:bCs w:val="0"/>
          <w:i w:val="0"/>
          <w:iCs w:val="0"/>
          <w:caps w:val="0"/>
          <w:smallCaps w:val="0"/>
          <w:strike w:val="0"/>
          <w:dstrike w:val="0"/>
          <w:noProof w:val="0"/>
          <w:color w:val="D13438"/>
          <w:sz w:val="24"/>
          <w:szCs w:val="24"/>
          <w:u w:val="single"/>
          <w:lang w:val="es-ES"/>
        </w:rPr>
      </w:pP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Validación previa: todo formato o pieza usada con beneficiarios o comunidad debe ser validado</w:t>
      </w:r>
      <w:r w:rsidRPr="711688CB" w:rsidR="005474F1">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por el Ministerio de Minas y Energia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antes de su implementación, especialmente actas, cartas, listados, autorizaciones, formatos PQRS, guías, dotación, carnés, pendones, carteleras y piezas digitales.</w:t>
      </w:r>
    </w:p>
    <w:p w:rsidR="73F106E2" w:rsidP="711688CB" w:rsidRDefault="73F106E2" w14:paraId="42DDAFAA" w14:textId="25461EBE">
      <w:pPr>
        <w:spacing w:after="200" w:line="240" w:lineRule="auto"/>
        <w:jc w:val="both"/>
        <w:rPr>
          <w:rFonts w:ascii="Work Sans" w:hAnsi="Work Sans" w:eastAsia="Work Sans" w:cs="Work Sans"/>
          <w:b w:val="0"/>
          <w:bCs w:val="0"/>
          <w:i w:val="0"/>
          <w:iCs w:val="0"/>
          <w:caps w:val="0"/>
          <w:smallCaps w:val="0"/>
          <w:noProof w:val="0"/>
          <w:color w:val="D13438"/>
          <w:sz w:val="24"/>
          <w:szCs w:val="24"/>
          <w:lang w:val="es-ES"/>
        </w:rPr>
      </w:pP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
        </w:rPr>
        <w:t>• Corrección de formatos enlazados: los soportes sin logos institucionales, o con jerarquía visual inadecuada, deben considerarse no conformes hasta su ajuste y aprobación.</w:t>
      </w:r>
    </w:p>
    <w:p w:rsidR="73F106E2" w:rsidP="711688CB" w:rsidRDefault="73F106E2" w14:paraId="4F075388" w14:textId="43B0D494">
      <w:pPr>
        <w:spacing w:after="200" w:line="240" w:lineRule="auto"/>
        <w:jc w:val="both"/>
        <w:rPr>
          <w:rFonts w:ascii="Work Sans" w:hAnsi="Work Sans" w:eastAsia="Work Sans" w:cs="Work Sans"/>
          <w:b w:val="0"/>
          <w:bCs w:val="0"/>
          <w:i w:val="0"/>
          <w:iCs w:val="0"/>
          <w:caps w:val="0"/>
          <w:smallCaps w:val="0"/>
          <w:noProof w:val="0"/>
          <w:color w:val="D13438"/>
          <w:sz w:val="24"/>
          <w:szCs w:val="24"/>
          <w:lang w:val="es-ES"/>
        </w:rPr>
      </w:pP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
        </w:rPr>
        <w:t xml:space="preserve">• </w:t>
      </w:r>
      <w:r w:rsidRPr="711688CB" w:rsidR="003B24F3">
        <w:rPr>
          <w:rFonts w:ascii="Work Sans" w:hAnsi="Work Sans" w:eastAsia="Work Sans" w:cs="Work Sans"/>
          <w:b w:val="0"/>
          <w:bCs w:val="0"/>
          <w:i w:val="0"/>
          <w:iCs w:val="0"/>
          <w:caps w:val="0"/>
          <w:smallCaps w:val="0"/>
          <w:strike w:val="0"/>
          <w:dstrike w:val="0"/>
          <w:noProof w:val="0"/>
          <w:color w:val="D13438"/>
          <w:sz w:val="24"/>
          <w:szCs w:val="24"/>
          <w:u w:val="single"/>
          <w:lang w:val="es"/>
        </w:rPr>
        <w:t>E</w:t>
      </w:r>
      <w:r w:rsidRPr="711688CB" w:rsidR="2A2F87CB">
        <w:rPr>
          <w:rFonts w:ascii="Work Sans" w:hAnsi="Work Sans" w:eastAsia="Work Sans" w:cs="Work Sans"/>
          <w:b w:val="0"/>
          <w:bCs w:val="0"/>
          <w:i w:val="0"/>
          <w:iCs w:val="0"/>
          <w:caps w:val="0"/>
          <w:smallCaps w:val="0"/>
          <w:strike w:val="0"/>
          <w:dstrike w:val="0"/>
          <w:noProof w:val="0"/>
          <w:color w:val="D13438"/>
          <w:sz w:val="24"/>
          <w:szCs w:val="24"/>
          <w:u w:val="single"/>
          <w:lang w:val="es"/>
        </w:rPr>
        <w:t xml:space="preserve">s pertinente dejar claro </w:t>
      </w:r>
      <w:r w:rsidRPr="711688CB" w:rsidR="2A2F87CB">
        <w:rPr>
          <w:rFonts w:ascii="Work Sans" w:hAnsi="Work Sans" w:eastAsia="Work Sans" w:cs="Work Sans"/>
          <w:b w:val="0"/>
          <w:bCs w:val="0"/>
          <w:i w:val="0"/>
          <w:iCs w:val="0"/>
          <w:caps w:val="0"/>
          <w:smallCaps w:val="0"/>
          <w:strike w:val="0"/>
          <w:dstrike w:val="0"/>
          <w:noProof w:val="0"/>
          <w:color w:val="D13438"/>
          <w:sz w:val="24"/>
          <w:szCs w:val="24"/>
          <w:u w:val="single"/>
          <w:lang w:val="es"/>
        </w:rPr>
        <w:t xml:space="preserve">que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
        </w:rPr>
        <w:t xml:space="preserve"> la</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
        </w:rPr>
        <w:t xml:space="preserve"> identificación secundaria del ejecutor no convierte a su personal en servidor del Ministerio ni genera vínculo laboral con la entidad; por el contrario, permite informar con claridad quién ejecuta materialmente las actividades.</w:t>
      </w:r>
    </w:p>
    <w:p w:rsidR="73F106E2" w:rsidP="711688CB" w:rsidRDefault="73F106E2" w14:paraId="598109A0" w14:textId="47AF5EFB">
      <w:pPr>
        <w:spacing w:after="200" w:line="240" w:lineRule="auto"/>
        <w:jc w:val="both"/>
        <w:rPr>
          <w:rFonts w:ascii="Work Sans" w:hAnsi="Work Sans" w:eastAsia="Work Sans" w:cs="Work Sans"/>
          <w:b w:val="0"/>
          <w:bCs w:val="0"/>
          <w:i w:val="0"/>
          <w:iCs w:val="0"/>
          <w:caps w:val="0"/>
          <w:smallCaps w:val="0"/>
          <w:strike w:val="0"/>
          <w:dstrike w:val="0"/>
          <w:noProof w:val="0"/>
          <w:color w:val="D13438"/>
          <w:sz w:val="24"/>
          <w:szCs w:val="24"/>
          <w:u w:val="single"/>
          <w:lang w:val="es-ES"/>
        </w:rPr>
      </w:pP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En consecuencia, no se </w:t>
      </w:r>
      <w:r w:rsidRPr="711688CB" w:rsidR="78CDFC5E">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aprobara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ni</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utilizar</w:t>
      </w:r>
      <w:r w:rsidRPr="711688CB" w:rsidR="1480A520">
        <w:rPr>
          <w:rFonts w:ascii="Work Sans" w:hAnsi="Work Sans" w:eastAsia="Work Sans" w:cs="Work Sans"/>
          <w:b w:val="0"/>
          <w:bCs w:val="0"/>
          <w:i w:val="0"/>
          <w:iCs w:val="0"/>
          <w:caps w:val="0"/>
          <w:smallCaps w:val="0"/>
          <w:strike w:val="0"/>
          <w:dstrike w:val="0"/>
          <w:noProof w:val="0"/>
          <w:color w:val="D13438"/>
          <w:sz w:val="24"/>
          <w:szCs w:val="24"/>
          <w:u w:val="single"/>
          <w:lang w:val="es-ES"/>
        </w:rPr>
        <w:t>a</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en territorio formatos sin logos institucionales, ni piezas en las que GECELCA o el Consorcio aparezcan como identidad principal del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Programa.</w:t>
      </w:r>
      <w:r w:rsidRPr="711688CB" w:rsidR="5645FA45">
        <w:rPr>
          <w:rFonts w:ascii="Work Sans" w:hAnsi="Work Sans" w:eastAsia="Work Sans" w:cs="Work Sans"/>
          <w:b w:val="0"/>
          <w:bCs w:val="0"/>
          <w:i w:val="0"/>
          <w:iCs w:val="0"/>
          <w:caps w:val="0"/>
          <w:smallCaps w:val="0"/>
          <w:strike w:val="0"/>
          <w:dstrike w:val="0"/>
          <w:noProof w:val="0"/>
          <w:color w:val="D13438"/>
          <w:sz w:val="24"/>
          <w:szCs w:val="24"/>
          <w:u w:val="single"/>
          <w:lang w:val="es-ES"/>
        </w:rPr>
        <w:t>y</w:t>
      </w:r>
      <w:r w:rsidRPr="711688CB" w:rsidR="5645FA45">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w:t>
      </w:r>
      <w:r w:rsidRPr="711688CB" w:rsidR="5645FA45">
        <w:rPr>
          <w:rFonts w:ascii="Work Sans" w:hAnsi="Work Sans" w:eastAsia="Work Sans" w:cs="Work Sans"/>
          <w:b w:val="0"/>
          <w:bCs w:val="0"/>
          <w:i w:val="0"/>
          <w:iCs w:val="0"/>
          <w:caps w:val="0"/>
          <w:smallCaps w:val="0"/>
          <w:strike w:val="0"/>
          <w:dstrike w:val="0"/>
          <w:noProof w:val="0"/>
          <w:color w:val="D13438"/>
          <w:sz w:val="24"/>
          <w:szCs w:val="24"/>
          <w:u w:val="single"/>
          <w:lang w:val="es-ES"/>
        </w:rPr>
        <w:t>asi</w:t>
      </w:r>
      <w:r w:rsidRPr="711688CB" w:rsidR="5645FA45">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mismo tampoco se aprobara la </w:t>
      </w:r>
      <w:r w:rsidRPr="711688CB" w:rsidR="5645FA45">
        <w:rPr>
          <w:rFonts w:ascii="Work Sans" w:hAnsi="Work Sans" w:eastAsia="Work Sans" w:cs="Work Sans"/>
          <w:b w:val="0"/>
          <w:bCs w:val="0"/>
          <w:i w:val="0"/>
          <w:iCs w:val="0"/>
          <w:caps w:val="0"/>
          <w:smallCaps w:val="0"/>
          <w:strike w:val="0"/>
          <w:dstrike w:val="0"/>
          <w:noProof w:val="0"/>
          <w:color w:val="D13438"/>
          <w:sz w:val="24"/>
          <w:szCs w:val="24"/>
          <w:u w:val="single"/>
          <w:lang w:val="es-ES"/>
        </w:rPr>
        <w:t>utilizacion</w:t>
      </w:r>
      <w:r w:rsidRPr="711688CB" w:rsidR="5645FA45">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de piezas </w:t>
      </w:r>
      <w:r w:rsidRPr="711688CB" w:rsidR="5645FA45">
        <w:rPr>
          <w:rFonts w:ascii="Work Sans" w:hAnsi="Work Sans" w:eastAsia="Work Sans" w:cs="Work Sans"/>
          <w:b w:val="0"/>
          <w:bCs w:val="0"/>
          <w:i w:val="0"/>
          <w:iCs w:val="0"/>
          <w:caps w:val="0"/>
          <w:smallCaps w:val="0"/>
          <w:strike w:val="0"/>
          <w:dstrike w:val="0"/>
          <w:noProof w:val="0"/>
          <w:color w:val="D13438"/>
          <w:sz w:val="24"/>
          <w:szCs w:val="24"/>
          <w:u w:val="single"/>
          <w:lang w:val="es-ES"/>
        </w:rPr>
        <w:t>disintivas</w:t>
      </w:r>
      <w:r w:rsidRPr="711688CB" w:rsidR="5645FA45">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en las que no se encuentren identificados plenamente el ejecutor y su contratista </w:t>
      </w:r>
      <w:r w:rsidRPr="711688CB" w:rsidR="5645FA45">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derivado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xml:space="preserve"> </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e</w:t>
      </w:r>
      <w:r w:rsidRPr="711688CB" w:rsidR="73F106E2">
        <w:rPr>
          <w:rFonts w:ascii="Work Sans" w:hAnsi="Work Sans" w:eastAsia="Work Sans" w:cs="Work Sans"/>
          <w:b w:val="0"/>
          <w:bCs w:val="0"/>
          <w:i w:val="0"/>
          <w:iCs w:val="0"/>
          <w:caps w:val="0"/>
          <w:smallCaps w:val="0"/>
          <w:strike w:val="0"/>
          <w:dstrike w:val="0"/>
          <w:noProof w:val="0"/>
          <w:color w:val="D13438"/>
          <w:sz w:val="24"/>
          <w:szCs w:val="24"/>
          <w:u w:val="single"/>
          <w:lang w:val="es-ES"/>
        </w:rPr>
        <w:t>, pues ello puede generar confusión sobre la calidad en la que actúa el personal de campo. La fórmula jurídicamente equilibrada es: prevalencia visual del Ministerio y Colombia Solar, con identificación secundaria de GECELCA y del contratista derivado</w:t>
      </w:r>
    </w:p>
    <w:p w:rsidR="711688CB" w:rsidP="711688CB" w:rsidRDefault="711688CB" w14:paraId="165863C4" w14:textId="08948726">
      <w:pPr>
        <w:pStyle w:val="Normal"/>
        <w:spacing w:after="160" w:afterAutospacing="off" w:line="278" w:lineRule="auto"/>
        <w:jc w:val="both"/>
        <w:rPr>
          <w:rFonts w:ascii="Arial" w:hAnsi="Arial" w:eastAsia="Arial" w:cs="Arial" w:asciiTheme="minorAscii" w:hAnsiTheme="minorAscii" w:eastAsiaTheme="minorAscii" w:cstheme="minorAscii"/>
          <w:noProof w:val="0"/>
          <w:sz w:val="22"/>
          <w:szCs w:val="22"/>
          <w:lang w:val="es-ES"/>
        </w:rPr>
      </w:pPr>
    </w:p>
    <w:p w:rsidR="711688CB" w:rsidP="711688CB" w:rsidRDefault="711688CB" w14:paraId="60F7A306" w14:textId="39756581">
      <w:pPr>
        <w:pStyle w:val="Normal"/>
        <w:spacing w:after="160" w:afterAutospacing="off" w:line="278" w:lineRule="auto"/>
        <w:jc w:val="both"/>
      </w:pPr>
      <w:r>
        <w:br/>
      </w:r>
      <w:r w:rsidRPr="711688CB" w:rsidR="50821CA9">
        <w:rPr>
          <w:rFonts w:ascii="Arial" w:hAnsi="Arial" w:eastAsia="Arial" w:cs="Arial"/>
          <w:noProof w:val="0"/>
          <w:sz w:val="22"/>
          <w:szCs w:val="22"/>
          <w:lang w:val="es-ES"/>
        </w:rPr>
        <w:t>Obligación 8.3.3 - El Ministerio de Minas y Energía compartió la Cartilla de Divulgación oficial del Programa Colombia Solar, instrumento que no ha sido incorporado en el Plan de Gestión Social ni en ninguno de sus anexos, ni se evidencia su uso en las piezas comunicativas presentadas en la implementación.</w:t>
      </w:r>
    </w:p>
    <w:p w:rsidR="33065DD0" w:rsidP="711688CB" w:rsidRDefault="33065DD0" w14:paraId="72D9A7B9" w14:textId="4332D9DA">
      <w:pPr>
        <w:pStyle w:val="Normal"/>
        <w:spacing w:after="160" w:afterAutospacing="off" w:line="278" w:lineRule="auto"/>
        <w:jc w:val="both"/>
      </w:pPr>
      <w:r w:rsidRPr="711688CB" w:rsidR="33065DD0">
        <w:rPr>
          <w:rFonts w:ascii="Arial" w:hAnsi="Arial" w:eastAsia="Arial" w:cs="Arial" w:asciiTheme="minorAscii" w:hAnsiTheme="minorAscii" w:eastAsiaTheme="minorAscii" w:cstheme="minorAscii"/>
          <w:noProof w:val="0"/>
          <w:sz w:val="22"/>
          <w:szCs w:val="22"/>
          <w:lang w:val="es-ES"/>
        </w:rPr>
        <w:t xml:space="preserve"> </w:t>
      </w:r>
    </w:p>
    <w:p w:rsidR="33065DD0" w:rsidP="711688CB" w:rsidRDefault="33065DD0" w14:paraId="1C7EE8BB" w14:textId="5333C5F6">
      <w:pPr>
        <w:pStyle w:val="Normal"/>
        <w:spacing w:after="160" w:afterAutospacing="off" w:line="278" w:lineRule="auto"/>
        <w:jc w:val="both"/>
      </w:pPr>
      <w:r w:rsidRPr="711688CB" w:rsidR="33065DD0">
        <w:rPr>
          <w:rFonts w:ascii="Arial" w:hAnsi="Arial" w:eastAsia="Arial" w:cs="Arial" w:asciiTheme="minorAscii" w:hAnsiTheme="minorAscii" w:eastAsiaTheme="minorAscii" w:cstheme="minorAscii"/>
          <w:noProof w:val="0"/>
          <w:sz w:val="22"/>
          <w:szCs w:val="22"/>
          <w:lang w:val="es-ES"/>
        </w:rPr>
        <w:t xml:space="preserve">Obligación 8.3.6 </w:t>
      </w:r>
      <w:r w:rsidRPr="711688CB" w:rsidR="44F1B8D7">
        <w:rPr>
          <w:rFonts w:ascii="Arial" w:hAnsi="Arial" w:eastAsia="Arial" w:cs="Arial" w:asciiTheme="minorAscii" w:hAnsiTheme="minorAscii" w:eastAsiaTheme="minorAscii" w:cstheme="minorAscii"/>
          <w:noProof w:val="0"/>
          <w:sz w:val="22"/>
          <w:szCs w:val="22"/>
          <w:lang w:val="es-ES"/>
        </w:rPr>
        <w:t>-</w:t>
      </w:r>
      <w:r w:rsidRPr="711688CB" w:rsidR="33065DD0">
        <w:rPr>
          <w:rFonts w:ascii="Arial" w:hAnsi="Arial" w:eastAsia="Arial" w:cs="Arial" w:asciiTheme="minorAscii" w:hAnsiTheme="minorAscii" w:eastAsiaTheme="minorAscii" w:cstheme="minorAscii"/>
          <w:noProof w:val="0"/>
          <w:sz w:val="22"/>
          <w:szCs w:val="22"/>
          <w:lang w:val="es-ES"/>
        </w:rPr>
        <w:t xml:space="preserve"> Divulgación de canales de atención a PQRS.</w:t>
      </w:r>
    </w:p>
    <w:p w:rsidR="4F738C2A" w:rsidP="711688CB" w:rsidRDefault="4F738C2A" w14:paraId="4E14DC4D" w14:textId="50A307D1">
      <w:pPr>
        <w:pStyle w:val="Normal"/>
        <w:spacing w:after="160" w:afterAutospacing="off" w:line="278" w:lineRule="auto"/>
        <w:jc w:val="both"/>
      </w:pPr>
      <w:r w:rsidRPr="711688CB" w:rsidR="4F738C2A">
        <w:rPr>
          <w:rFonts w:ascii="Arial" w:hAnsi="Arial" w:eastAsia="Arial" w:cs="Arial" w:asciiTheme="minorAscii" w:hAnsiTheme="minorAscii" w:eastAsiaTheme="minorAscii" w:cstheme="minorAscii"/>
          <w:noProof w:val="0"/>
          <w:sz w:val="22"/>
          <w:szCs w:val="22"/>
          <w:lang w:val="es-ES"/>
        </w:rPr>
        <w:t>Obligación alertada en las reuniones del 15 de mayo y 4 de junio de 2026 sin evidencia de implementación visible en los conjuntos Parques de Bolívar 1 y 2 y Villas de San Pablo Etapa 1. La matriz de PQRS remitida se valora como instrumento de registro; no obstante, relaciona casos en seguimiento sin los soportes que acrediten la atención efectiva y el cierre de cada uno. El cumplimiento no se agota en el registro de la PQRS recibida: exige la verificabilidad de la solicitud, la respuesta emitida, el canal utilizado, el tiempo de atención y la constancia de cierre.</w:t>
      </w:r>
    </w:p>
    <w:p w:rsidR="401483D4" w:rsidP="711688CB" w:rsidRDefault="401483D4" w14:paraId="04232983" w14:textId="1DA9E8B2">
      <w:pPr>
        <w:spacing w:after="160" w:afterAutospacing="off" w:line="278" w:lineRule="auto"/>
        <w:jc w:val="both"/>
      </w:pPr>
      <w:r w:rsidRPr="711688CB" w:rsidR="401483D4">
        <w:rPr>
          <w:rFonts w:ascii="Arial" w:hAnsi="Arial" w:eastAsia="Arial" w:cs="Arial" w:asciiTheme="minorAscii" w:hAnsiTheme="minorAscii" w:eastAsiaTheme="minorAscii" w:cstheme="minorAscii"/>
          <w:noProof w:val="0"/>
          <w:sz w:val="22"/>
          <w:szCs w:val="22"/>
          <w:lang w:val="es"/>
        </w:rPr>
        <w:t xml:space="preserve"> </w:t>
      </w:r>
    </w:p>
    <w:p w:rsidR="711688CB" w:rsidP="711688CB" w:rsidRDefault="711688CB" w14:paraId="5A09D287" w14:textId="08B1E07B">
      <w:pPr>
        <w:spacing w:after="160" w:afterAutospacing="off" w:line="278" w:lineRule="auto"/>
        <w:jc w:val="both"/>
        <w:rPr>
          <w:rFonts w:ascii="Arial" w:hAnsi="Arial" w:eastAsia="Arial" w:cs="Arial" w:asciiTheme="minorAscii" w:hAnsiTheme="minorAscii" w:eastAsiaTheme="minorAscii" w:cstheme="minorAscii"/>
          <w:noProof w:val="0"/>
          <w:sz w:val="22"/>
          <w:szCs w:val="22"/>
          <w:lang w:val="es"/>
        </w:rPr>
      </w:pPr>
    </w:p>
    <w:p w:rsidR="47C874CF" w:rsidP="711688CB" w:rsidRDefault="47C874CF" w14:paraId="3CBB7FF1" w14:textId="48E813C1">
      <w:pPr>
        <w:pStyle w:val="Normal"/>
        <w:suppressLineNumbers w:val="0"/>
        <w:bidi w:val="0"/>
        <w:spacing w:before="0" w:beforeAutospacing="off" w:after="160" w:afterAutospacing="off" w:line="278" w:lineRule="auto"/>
        <w:ind w:left="0" w:right="0"/>
        <w:jc w:val="left"/>
      </w:pPr>
      <w:r w:rsidRPr="711688CB" w:rsidR="47C874CF">
        <w:rPr>
          <w:rFonts w:ascii="Arial" w:hAnsi="Arial" w:eastAsia="Arial" w:cs="Arial" w:asciiTheme="minorAscii" w:hAnsiTheme="minorAscii" w:eastAsiaTheme="minorAscii" w:cstheme="minorAscii"/>
          <w:noProof w:val="0"/>
          <w:sz w:val="22"/>
          <w:szCs w:val="22"/>
          <w:u w:val="single"/>
          <w:lang w:val="es-ES"/>
        </w:rPr>
        <w:t>Respecto a los aspectos técnicos:</w:t>
      </w:r>
    </w:p>
    <w:p w:rsidR="711688CB" w:rsidP="711688CB" w:rsidRDefault="711688CB" w14:paraId="37E83206" w14:textId="2FA89833">
      <w:pPr>
        <w:spacing w:after="160" w:afterAutospacing="off" w:line="278" w:lineRule="auto"/>
        <w:jc w:val="both"/>
        <w:rPr>
          <w:rFonts w:ascii="Arial" w:hAnsi="Arial" w:eastAsia="Arial" w:cs="Arial" w:asciiTheme="minorAscii" w:hAnsiTheme="minorAscii" w:eastAsiaTheme="minorAscii" w:cstheme="minorAscii"/>
          <w:noProof w:val="0"/>
          <w:sz w:val="22"/>
          <w:szCs w:val="22"/>
          <w:lang w:val="es"/>
        </w:rPr>
      </w:pPr>
    </w:p>
    <w:p w:rsidR="11A5971A" w:rsidP="711688CB" w:rsidRDefault="11A5971A" w14:paraId="53FACA00" w14:textId="216FFE87">
      <w:pPr>
        <w:pStyle w:val="Normal"/>
        <w:suppressLineNumbers w:val="0"/>
        <w:bidi w:val="0"/>
        <w:spacing w:before="0" w:beforeAutospacing="off" w:after="160" w:afterAutospacing="off" w:line="257" w:lineRule="auto"/>
        <w:ind w:left="0" w:right="0"/>
        <w:jc w:val="left"/>
        <w:rPr>
          <w:rFonts w:ascii="Arial" w:hAnsi="Arial" w:eastAsia="Arial" w:cs="Arial"/>
          <w:b w:val="1"/>
          <w:bCs w:val="1"/>
          <w:noProof w:val="0"/>
          <w:sz w:val="22"/>
          <w:szCs w:val="22"/>
          <w:lang w:val="es-ES"/>
        </w:rPr>
      </w:pPr>
      <w:r w:rsidRPr="711688CB" w:rsidR="11A5971A">
        <w:rPr>
          <w:rFonts w:ascii="Arial" w:hAnsi="Arial" w:eastAsia="Arial" w:cs="Arial"/>
          <w:b w:val="1"/>
          <w:bCs w:val="1"/>
          <w:noProof w:val="0"/>
          <w:sz w:val="22"/>
          <w:szCs w:val="22"/>
          <w:lang w:val="es-ES"/>
        </w:rPr>
        <w:t xml:space="preserve">3. </w:t>
      </w:r>
      <w:r w:rsidRPr="711688CB" w:rsidR="401483D4">
        <w:rPr>
          <w:rFonts w:ascii="Arial" w:hAnsi="Arial" w:eastAsia="Arial" w:cs="Arial"/>
          <w:b w:val="1"/>
          <w:bCs w:val="1"/>
          <w:noProof w:val="0"/>
          <w:sz w:val="22"/>
          <w:szCs w:val="22"/>
          <w:lang w:val="es-ES"/>
        </w:rPr>
        <w:t>Respecto</w:t>
      </w:r>
      <w:r w:rsidRPr="711688CB" w:rsidR="401483D4">
        <w:rPr>
          <w:rFonts w:ascii="Arial" w:hAnsi="Arial" w:eastAsia="Arial" w:cs="Arial"/>
          <w:b w:val="1"/>
          <w:bCs w:val="1"/>
          <w:noProof w:val="0"/>
          <w:sz w:val="22"/>
          <w:szCs w:val="22"/>
          <w:lang w:val="es-ES"/>
        </w:rPr>
        <w:t xml:space="preserve"> a los aspectos técnicos:</w:t>
      </w:r>
    </w:p>
    <w:p w:rsidR="199D42C7" w:rsidP="711688CB" w:rsidRDefault="199D42C7" w14:paraId="1182B7F5" w14:textId="4C96E6D6">
      <w:pPr>
        <w:spacing w:before="0" w:beforeAutospacing="off" w:after="160" w:afterAutospacing="off" w:line="257" w:lineRule="auto"/>
        <w:jc w:val="both"/>
      </w:pPr>
      <w:r w:rsidRPr="711688CB" w:rsidR="199D42C7">
        <w:rPr>
          <w:rFonts w:ascii="Arial" w:hAnsi="Arial" w:eastAsia="Arial" w:cs="Arial"/>
          <w:noProof w:val="0"/>
          <w:sz w:val="22"/>
          <w:szCs w:val="22"/>
          <w:lang w:val="es-ES"/>
        </w:rPr>
        <w:t xml:space="preserve">En el marco del seguimiento técnico, contractual y operativo al Programa Colombia Solar, y teniendo en cuenta la mesa de seguimiento realizada el día de hoy, en la cual se revisó el estado de avance de las instalaciones en Villas de San Pablo y sectores priorizados, así como las restricciones asociadas al proceso de puesta en servicio, certificación RETIE, parametrización de </w:t>
      </w:r>
      <w:r w:rsidRPr="711688CB" w:rsidR="199D42C7">
        <w:rPr>
          <w:rFonts w:ascii="Arial" w:hAnsi="Arial" w:eastAsia="Arial" w:cs="Arial"/>
          <w:noProof w:val="0"/>
          <w:sz w:val="22"/>
          <w:szCs w:val="22"/>
          <w:lang w:val="es-ES"/>
        </w:rPr>
        <w:t>microinversores</w:t>
      </w:r>
      <w:r w:rsidRPr="711688CB" w:rsidR="199D42C7">
        <w:rPr>
          <w:rFonts w:ascii="Arial" w:hAnsi="Arial" w:eastAsia="Arial" w:cs="Arial"/>
          <w:noProof w:val="0"/>
          <w:sz w:val="22"/>
          <w:szCs w:val="22"/>
          <w:lang w:val="es-ES"/>
        </w:rPr>
        <w:t>, instalación de medidores bidireccionales y legalización ante el Operador de Red, se requiere a GECELCA S.A. E.S.P. remitir un informe técnico detallado sobre el estado actual del cumplimiento del hito correspondiente a las primeras quinientas (500) soluciones fotovoltaicas.</w:t>
      </w:r>
    </w:p>
    <w:p w:rsidR="199D42C7" w:rsidP="711688CB" w:rsidRDefault="199D42C7" w14:paraId="0A94F80E" w14:textId="480F4893">
      <w:pPr>
        <w:spacing w:before="0" w:beforeAutospacing="off" w:after="160" w:afterAutospacing="off" w:line="257" w:lineRule="auto"/>
        <w:jc w:val="both"/>
      </w:pPr>
      <w:r w:rsidRPr="711688CB" w:rsidR="199D42C7">
        <w:rPr>
          <w:rFonts w:ascii="Arial" w:hAnsi="Arial" w:eastAsia="Arial" w:cs="Arial"/>
          <w:noProof w:val="0"/>
          <w:sz w:val="22"/>
          <w:szCs w:val="22"/>
          <w:lang w:val="es-ES"/>
        </w:rPr>
        <w:t>Lo anterior, considerando que, de acuerdo con la información presentada en la reunión, se reporta avance en actividades de instalación física; sin embargo, a la fecha no se evidencia la legalización de las soluciones ante el Operador de Red, ni la culminación integral de las actividades requeridas para declarar técnicamente finalizado el hito, tales como comisionamiento, certificación RETIE, parametrización de microinversores, cambio o instalación de medidores bidireccionales y aprobación final por parte del Operador de Red.</w:t>
      </w:r>
    </w:p>
    <w:p w:rsidR="2A566F7F" w:rsidP="711688CB" w:rsidRDefault="2A566F7F" w14:paraId="5446B52F" w14:textId="455393CB">
      <w:pPr>
        <w:pStyle w:val="Normal"/>
        <w:spacing w:before="0" w:beforeAutospacing="off" w:after="160" w:afterAutospacing="off" w:line="257" w:lineRule="auto"/>
        <w:jc w:val="both"/>
      </w:pPr>
      <w:r w:rsidRPr="711688CB" w:rsidR="2A566F7F">
        <w:rPr>
          <w:rFonts w:ascii="Arial" w:hAnsi="Arial" w:eastAsia="Arial" w:cs="Arial"/>
          <w:noProof w:val="0"/>
          <w:sz w:val="22"/>
          <w:szCs w:val="22"/>
          <w:lang w:val="es-ES"/>
        </w:rPr>
        <w:t>Con base en la obligaci</w:t>
      </w:r>
      <w:r w:rsidRPr="711688CB" w:rsidR="244A33F9">
        <w:rPr>
          <w:rFonts w:ascii="Arial" w:hAnsi="Arial" w:eastAsia="Arial" w:cs="Arial"/>
          <w:noProof w:val="0"/>
          <w:sz w:val="22"/>
          <w:szCs w:val="22"/>
          <w:lang w:val="es-ES"/>
        </w:rPr>
        <w:t xml:space="preserve">ón, “Dar respuesta oportuna a las solicitudes, observaciones o recomendaciones de la interventoría, garantizando que se implementen las medidas correctivas o acciones sugeridas para el cumplimiento </w:t>
      </w:r>
      <w:r w:rsidRPr="711688CB" w:rsidR="244A33F9">
        <w:rPr>
          <w:rFonts w:ascii="Arial" w:hAnsi="Arial" w:eastAsia="Arial" w:cs="Arial"/>
          <w:noProof w:val="0"/>
          <w:sz w:val="22"/>
          <w:szCs w:val="22"/>
          <w:lang w:val="es-ES"/>
        </w:rPr>
        <w:t>de los</w:t>
      </w:r>
      <w:r w:rsidRPr="711688CB" w:rsidR="244A33F9">
        <w:rPr>
          <w:rFonts w:ascii="Arial" w:hAnsi="Arial" w:eastAsia="Arial" w:cs="Arial"/>
          <w:noProof w:val="0"/>
          <w:sz w:val="22"/>
          <w:szCs w:val="22"/>
          <w:lang w:val="es-ES"/>
        </w:rPr>
        <w:t xml:space="preserve"> contratos derivados.”, s</w:t>
      </w:r>
      <w:r w:rsidRPr="711688CB" w:rsidR="05DA7A6F">
        <w:rPr>
          <w:rFonts w:ascii="Arial" w:hAnsi="Arial" w:eastAsia="Arial" w:cs="Arial"/>
          <w:noProof w:val="0"/>
          <w:sz w:val="22"/>
          <w:szCs w:val="22"/>
          <w:lang w:val="es-ES"/>
        </w:rPr>
        <w:t xml:space="preserve">e presenta el incumplimiento en </w:t>
      </w:r>
      <w:r w:rsidRPr="711688CB" w:rsidR="5077C55E">
        <w:rPr>
          <w:rFonts w:ascii="Arial" w:hAnsi="Arial" w:eastAsia="Arial" w:cs="Arial"/>
          <w:noProof w:val="0"/>
          <w:sz w:val="22"/>
          <w:szCs w:val="22"/>
          <w:lang w:val="es-ES"/>
        </w:rPr>
        <w:t>el reporte y gestión de imprevistos o fallas asociadas a los avances en la ejecución. Lo anterior tomando como referencia los avances reales contra los datos asociado</w:t>
      </w:r>
      <w:r w:rsidRPr="711688CB" w:rsidR="67969EFE">
        <w:rPr>
          <w:rFonts w:ascii="Arial" w:hAnsi="Arial" w:eastAsia="Arial" w:cs="Arial"/>
          <w:noProof w:val="0"/>
          <w:sz w:val="22"/>
          <w:szCs w:val="22"/>
          <w:lang w:val="es-ES"/>
        </w:rPr>
        <w:t xml:space="preserve">s al plan de ejecución anual. El reporte de novedades ha tenido falencias técnicas proyectadas en errores </w:t>
      </w:r>
      <w:r w:rsidRPr="711688CB" w:rsidR="7A5CDD62">
        <w:rPr>
          <w:rFonts w:ascii="Arial" w:hAnsi="Arial" w:eastAsia="Arial" w:cs="Arial"/>
          <w:noProof w:val="0"/>
          <w:sz w:val="22"/>
          <w:szCs w:val="22"/>
          <w:lang w:val="es-ES"/>
        </w:rPr>
        <w:t xml:space="preserve">en la especificación de los </w:t>
      </w:r>
      <w:r w:rsidRPr="711688CB" w:rsidR="7A5CDD62">
        <w:rPr>
          <w:rFonts w:ascii="Arial" w:hAnsi="Arial" w:eastAsia="Arial" w:cs="Arial"/>
          <w:noProof w:val="0"/>
          <w:sz w:val="22"/>
          <w:szCs w:val="22"/>
          <w:lang w:val="es-ES"/>
        </w:rPr>
        <w:t>microinversores</w:t>
      </w:r>
      <w:r w:rsidRPr="711688CB" w:rsidR="7A5CDD62">
        <w:rPr>
          <w:rFonts w:ascii="Arial" w:hAnsi="Arial" w:eastAsia="Arial" w:cs="Arial"/>
          <w:noProof w:val="0"/>
          <w:sz w:val="22"/>
          <w:szCs w:val="22"/>
          <w:lang w:val="es-ES"/>
        </w:rPr>
        <w:t xml:space="preserve"> dentro del cumplimiento normativo asociado a requisitos exigidos por parte del </w:t>
      </w:r>
      <w:r w:rsidRPr="711688CB" w:rsidR="38FC9698">
        <w:rPr>
          <w:rFonts w:ascii="Arial" w:hAnsi="Arial" w:eastAsia="Arial" w:cs="Arial"/>
          <w:noProof w:val="0"/>
          <w:sz w:val="22"/>
          <w:szCs w:val="22"/>
          <w:lang w:val="es-ES"/>
        </w:rPr>
        <w:t xml:space="preserve">Consejo Nacional de Operación (CNO), la falta de capacidad para la limitación de corriente y la tensión adecuada para su instalación a todos los usuarios beneficiarios indicados dentro de la selección muestral para el plan piloto. </w:t>
      </w:r>
    </w:p>
    <w:p w:rsidR="7C792D2E" w:rsidP="711688CB" w:rsidRDefault="7C792D2E" w14:paraId="5E2C4BE1" w14:textId="6463E7B1">
      <w:pPr>
        <w:bidi w:val="0"/>
        <w:spacing w:after="16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r w:rsidRPr="711688CB" w:rsidR="7C792D2E">
        <w:rPr>
          <w:rFonts w:ascii="Arial" w:hAnsi="Arial" w:eastAsia="Arial" w:cs="Arial" w:asciiTheme="minorAscii" w:hAnsiTheme="minorAscii" w:eastAsiaTheme="minorAscii" w:cstheme="minorBidi"/>
          <w:noProof w:val="0"/>
          <w:color w:val="auto"/>
          <w:sz w:val="22"/>
          <w:szCs w:val="22"/>
          <w:lang w:val="es-ES" w:eastAsia="en-US" w:bidi="ar-SA"/>
        </w:rPr>
        <w:t xml:space="preserve">En virtud de lo anterior, se requiere formalmente a GECELCA para que, dentro del término que establezca la Supervisión, presente un Plan de Choque para la Recuperación del Cronograma, </w:t>
      </w:r>
      <w:r w:rsidRPr="711688CB" w:rsidR="317DADCA">
        <w:rPr>
          <w:rFonts w:ascii="Arial" w:hAnsi="Arial" w:eastAsia="Arial" w:cs="Arial" w:asciiTheme="minorAscii" w:hAnsiTheme="minorAscii" w:eastAsiaTheme="minorAscii" w:cstheme="minorBidi"/>
          <w:noProof w:val="0"/>
          <w:color w:val="auto"/>
          <w:sz w:val="22"/>
          <w:szCs w:val="22"/>
          <w:lang w:val="es-ES" w:eastAsia="en-US" w:bidi="ar-SA"/>
        </w:rPr>
        <w:t>teniendo en cuenta las siguientes consideraciones</w:t>
      </w:r>
      <w:r w:rsidRPr="711688CB" w:rsidR="7C792D2E">
        <w:rPr>
          <w:rFonts w:ascii="Arial" w:hAnsi="Arial" w:eastAsia="Arial" w:cs="Arial" w:asciiTheme="minorAscii" w:hAnsiTheme="minorAscii" w:eastAsiaTheme="minorAscii" w:cstheme="minorBidi"/>
          <w:noProof w:val="0"/>
          <w:color w:val="auto"/>
          <w:sz w:val="22"/>
          <w:szCs w:val="22"/>
          <w:lang w:val="es-ES" w:eastAsia="en-US" w:bidi="ar-SA"/>
        </w:rPr>
        <w:t>:</w:t>
      </w:r>
    </w:p>
    <w:p w:rsidR="675C1B3A" w:rsidP="711688CB" w:rsidRDefault="675C1B3A" w14:paraId="284BD0C6" w14:textId="1D833A2E">
      <w:pPr>
        <w:spacing w:after="160" w:afterAutospacing="off" w:line="276" w:lineRule="auto"/>
        <w:jc w:val="both"/>
        <w:rPr>
          <w:rFonts w:ascii="Arial" w:hAnsi="Arial" w:eastAsia="Arial" w:cs="Arial"/>
          <w:b w:val="1"/>
          <w:bCs w:val="1"/>
          <w:noProof w:val="0"/>
          <w:sz w:val="22"/>
          <w:szCs w:val="22"/>
          <w:lang w:val="es-ES"/>
        </w:rPr>
      </w:pPr>
      <w:r w:rsidRPr="711688CB" w:rsidR="675C1B3A">
        <w:rPr>
          <w:rFonts w:ascii="Arial" w:hAnsi="Arial" w:eastAsia="Arial" w:cs="Arial" w:asciiTheme="minorAscii" w:hAnsiTheme="minorAscii" w:eastAsiaTheme="minorAscii" w:cstheme="minorBidi"/>
          <w:b w:val="1"/>
          <w:bCs w:val="1"/>
          <w:noProof w:val="0"/>
          <w:color w:val="auto"/>
          <w:sz w:val="22"/>
          <w:szCs w:val="22"/>
          <w:lang w:val="es-ES" w:eastAsia="en-US" w:bidi="ar-SA"/>
        </w:rPr>
        <w:t>3.</w:t>
      </w:r>
      <w:r w:rsidRPr="711688CB" w:rsidR="3697FEB8">
        <w:rPr>
          <w:rFonts w:ascii="Arial" w:hAnsi="Arial" w:eastAsia="Arial" w:cs="Arial" w:asciiTheme="minorAscii" w:hAnsiTheme="minorAscii" w:eastAsiaTheme="minorAscii" w:cstheme="minorBidi"/>
          <w:b w:val="1"/>
          <w:bCs w:val="1"/>
          <w:noProof w:val="0"/>
          <w:color w:val="auto"/>
          <w:sz w:val="22"/>
          <w:szCs w:val="22"/>
          <w:lang w:val="es-ES" w:eastAsia="en-US" w:bidi="ar-SA"/>
        </w:rPr>
        <w:t>1</w:t>
      </w:r>
      <w:r w:rsidRPr="711688CB" w:rsidR="675C1B3A">
        <w:rPr>
          <w:rFonts w:ascii="Arial" w:hAnsi="Arial" w:eastAsia="Arial" w:cs="Arial" w:asciiTheme="minorAscii" w:hAnsiTheme="minorAscii" w:eastAsiaTheme="minorAscii" w:cstheme="minorBidi"/>
          <w:b w:val="1"/>
          <w:bCs w:val="1"/>
          <w:noProof w:val="0"/>
          <w:color w:val="auto"/>
          <w:sz w:val="22"/>
          <w:szCs w:val="22"/>
          <w:lang w:val="es-ES" w:eastAsia="en-US" w:bidi="ar-SA"/>
        </w:rPr>
        <w:t>. Retraso en la ejecución de las metas contractuales</w:t>
      </w:r>
    </w:p>
    <w:p w:rsidR="675C1B3A" w:rsidP="711688CB" w:rsidRDefault="675C1B3A" w14:paraId="4108B6AA" w14:textId="69E9D66A">
      <w:pPr>
        <w:spacing w:after="160" w:afterAutospacing="off" w:line="240" w:lineRule="auto"/>
        <w:jc w:val="both"/>
        <w:rPr>
          <w:rFonts w:ascii="Arial" w:hAnsi="Arial" w:eastAsia="Arial" w:cs="Arial"/>
          <w:noProof w:val="0"/>
          <w:sz w:val="22"/>
          <w:szCs w:val="22"/>
          <w:lang w:val="es-ES"/>
        </w:rPr>
      </w:pPr>
      <w:r w:rsidRPr="711688CB" w:rsidR="675C1B3A">
        <w:rPr>
          <w:rFonts w:ascii="Arial" w:hAnsi="Arial" w:eastAsia="Arial" w:cs="Arial" w:asciiTheme="minorAscii" w:hAnsiTheme="minorAscii" w:eastAsiaTheme="minorAscii" w:cstheme="minorBidi"/>
          <w:noProof w:val="0"/>
          <w:color w:val="auto"/>
          <w:sz w:val="22"/>
          <w:szCs w:val="22"/>
          <w:lang w:val="es-ES" w:eastAsia="en-US" w:bidi="ar-SA"/>
        </w:rPr>
        <w:t>De conformidad con lo establecido en el numeral 4.2.1. Usuarios Beneficiados Estimados del Plan de Ejecución aprobado dentro del Contrato Interadministrativo GGC-2144-2025, se determinó que el comportamiento de los usuarios beneficiados sería progresivo y acumulativo, reconociéndose como beneficiario únicamente aquel usuario cuya solución se encontrara completamente en operación.</w:t>
      </w:r>
    </w:p>
    <w:p w:rsidR="675C1B3A" w:rsidP="711688CB" w:rsidRDefault="675C1B3A" w14:paraId="0684E9BD" w14:textId="7F1B62ED">
      <w:pPr>
        <w:spacing w:after="160" w:afterAutospacing="off" w:line="240" w:lineRule="auto"/>
        <w:jc w:val="both"/>
        <w:rPr>
          <w:rFonts w:ascii="Arial" w:hAnsi="Arial" w:eastAsia="Arial" w:cs="Arial"/>
          <w:noProof w:val="0"/>
          <w:sz w:val="22"/>
          <w:szCs w:val="22"/>
          <w:lang w:val="es-ES"/>
        </w:rPr>
      </w:pPr>
      <w:r w:rsidRPr="711688CB" w:rsidR="675C1B3A">
        <w:rPr>
          <w:rFonts w:ascii="Arial" w:hAnsi="Arial" w:eastAsia="Arial" w:cs="Arial" w:asciiTheme="minorAscii" w:hAnsiTheme="minorAscii" w:eastAsiaTheme="minorAscii" w:cstheme="minorBidi"/>
          <w:noProof w:val="0"/>
          <w:color w:val="auto"/>
          <w:sz w:val="22"/>
          <w:szCs w:val="22"/>
          <w:lang w:val="es-ES" w:eastAsia="en-US" w:bidi="ar-SA"/>
        </w:rPr>
        <w:t>En ese sentido, la programación contractual para el componente de soluciones individuales de 1,5 kW estableció el siguiente comportamiento para la vigencia 2</w:t>
      </w:r>
      <w:r w:rsidRPr="711688CB" w:rsidR="675C1B3A">
        <w:rPr>
          <w:rFonts w:ascii="Arial" w:hAnsi="Arial" w:eastAsia="Arial" w:cs="Arial" w:asciiTheme="minorAscii" w:hAnsiTheme="minorAscii" w:eastAsiaTheme="minorAscii" w:cstheme="minorBidi"/>
          <w:noProof w:val="0"/>
          <w:color w:val="auto"/>
          <w:sz w:val="22"/>
          <w:szCs w:val="22"/>
          <w:lang w:val="es-ES" w:eastAsia="en-US" w:bidi="ar-SA"/>
        </w:rPr>
        <w:t>026:</w:t>
      </w:r>
    </w:p>
    <w:tbl>
      <w:tblPr>
        <w:tblStyle w:val="TableNormal"/>
        <w:bidiVisual w:val="0"/>
        <w:tblW w:w="0" w:type="auto"/>
        <w:jc w:val="center"/>
        <w:tblLook w:val="04A0" w:firstRow="1" w:lastRow="0" w:firstColumn="1" w:lastColumn="0" w:noHBand="0" w:noVBand="1"/>
      </w:tblPr>
      <w:tblGrid>
        <w:gridCol w:w="2415"/>
        <w:gridCol w:w="2340"/>
        <w:gridCol w:w="1800"/>
      </w:tblGrid>
      <w:tr w:rsidR="711688CB" w:rsidTr="711688CB" w14:paraId="1B6A4961">
        <w:trPr>
          <w:trHeight w:val="300"/>
        </w:trPr>
        <w:tc>
          <w:tcPr>
            <w:tcW w:w="2415" w:type="dxa"/>
            <w:tcBorders>
              <w:top w:val="single" w:sz="8"/>
              <w:left w:val="single" w:sz="8"/>
              <w:bottom w:val="single" w:sz="8"/>
              <w:right w:val="single" w:sz="8"/>
            </w:tcBorders>
            <w:tcMar>
              <w:left w:w="70" w:type="dxa"/>
              <w:right w:w="70" w:type="dxa"/>
            </w:tcMar>
            <w:vAlign w:val="center"/>
          </w:tcPr>
          <w:p w:rsidR="711688CB" w:rsidP="711688CB" w:rsidRDefault="711688CB" w14:paraId="17B5522B" w14:textId="7B63F0F4">
            <w:pPr>
              <w:spacing w:before="0" w:beforeAutospacing="off" w:after="0" w:afterAutospacing="off"/>
              <w:jc w:val="both"/>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Mes</w:t>
            </w:r>
          </w:p>
        </w:tc>
        <w:tc>
          <w:tcPr>
            <w:tcW w:w="2340" w:type="dxa"/>
            <w:tcBorders>
              <w:top w:val="single" w:sz="8"/>
              <w:left w:val="single" w:sz="8"/>
              <w:bottom w:val="single" w:sz="8"/>
              <w:right w:val="single" w:sz="8"/>
            </w:tcBorders>
            <w:tcMar>
              <w:left w:w="70" w:type="dxa"/>
              <w:right w:w="70" w:type="dxa"/>
            </w:tcMar>
            <w:vAlign w:val="center"/>
          </w:tcPr>
          <w:p w:rsidR="711688CB" w:rsidP="711688CB" w:rsidRDefault="711688CB" w14:paraId="6748E57C" w14:textId="24B22EF7">
            <w:pPr>
              <w:spacing w:before="0" w:beforeAutospacing="off" w:after="0" w:afterAutospacing="off"/>
              <w:jc w:val="both"/>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Usuarios programados del mes</w:t>
            </w:r>
          </w:p>
        </w:tc>
        <w:tc>
          <w:tcPr>
            <w:tcW w:w="1800" w:type="dxa"/>
            <w:tcBorders>
              <w:top w:val="single" w:sz="8"/>
              <w:left w:val="single" w:sz="8"/>
              <w:bottom w:val="single" w:sz="8"/>
              <w:right w:val="single" w:sz="8"/>
            </w:tcBorders>
            <w:tcMar>
              <w:left w:w="70" w:type="dxa"/>
              <w:right w:w="70" w:type="dxa"/>
            </w:tcMar>
            <w:vAlign w:val="center"/>
          </w:tcPr>
          <w:p w:rsidR="711688CB" w:rsidP="711688CB" w:rsidRDefault="711688CB" w14:paraId="5648E54D" w14:textId="06B60F07">
            <w:pPr>
              <w:spacing w:before="0" w:beforeAutospacing="off" w:after="0" w:afterAutospacing="off"/>
              <w:jc w:val="both"/>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Usuarios acumulados</w:t>
            </w:r>
          </w:p>
        </w:tc>
      </w:tr>
      <w:tr w:rsidR="711688CB" w:rsidTr="711688CB" w14:paraId="4DB41FA5">
        <w:trPr>
          <w:trHeight w:val="300"/>
        </w:trPr>
        <w:tc>
          <w:tcPr>
            <w:tcW w:w="2415" w:type="dxa"/>
            <w:tcBorders>
              <w:top w:val="single" w:sz="8"/>
              <w:left w:val="single" w:sz="8"/>
              <w:bottom w:val="single" w:sz="8"/>
              <w:right w:val="single" w:sz="8"/>
            </w:tcBorders>
            <w:tcMar>
              <w:left w:w="70" w:type="dxa"/>
              <w:right w:w="70" w:type="dxa"/>
            </w:tcMar>
            <w:vAlign w:val="center"/>
          </w:tcPr>
          <w:p w:rsidR="711688CB" w:rsidP="711688CB" w:rsidRDefault="711688CB" w14:paraId="1DFDF89B" w14:textId="223E2B5D">
            <w:pPr>
              <w:spacing w:before="0" w:beforeAutospacing="off" w:after="0" w:afterAutospacing="off"/>
              <w:jc w:val="both"/>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Mayo de 2026</w:t>
            </w:r>
          </w:p>
        </w:tc>
        <w:tc>
          <w:tcPr>
            <w:tcW w:w="2340" w:type="dxa"/>
            <w:tcBorders>
              <w:top w:val="single" w:sz="8"/>
              <w:left w:val="single" w:sz="8"/>
              <w:bottom w:val="single" w:sz="8"/>
              <w:right w:val="single" w:sz="8"/>
            </w:tcBorders>
            <w:tcMar>
              <w:left w:w="70" w:type="dxa"/>
              <w:right w:w="70" w:type="dxa"/>
            </w:tcMar>
            <w:vAlign w:val="center"/>
          </w:tcPr>
          <w:p w:rsidR="711688CB" w:rsidP="711688CB" w:rsidRDefault="711688CB" w14:paraId="5C10C0F1" w14:textId="6570A806">
            <w:pPr>
              <w:spacing w:before="0" w:beforeAutospacing="off" w:after="0" w:afterAutospacing="off"/>
              <w:jc w:val="both"/>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118</w:t>
            </w:r>
          </w:p>
        </w:tc>
        <w:tc>
          <w:tcPr>
            <w:tcW w:w="1800" w:type="dxa"/>
            <w:tcBorders>
              <w:top w:val="single" w:sz="8"/>
              <w:left w:val="single" w:sz="8"/>
              <w:bottom w:val="single" w:sz="8"/>
              <w:right w:val="single" w:sz="8"/>
            </w:tcBorders>
            <w:tcMar>
              <w:left w:w="70" w:type="dxa"/>
              <w:right w:w="70" w:type="dxa"/>
            </w:tcMar>
            <w:vAlign w:val="center"/>
          </w:tcPr>
          <w:p w:rsidR="711688CB" w:rsidP="711688CB" w:rsidRDefault="711688CB" w14:paraId="3A572C5D" w14:textId="7D00FCCA">
            <w:pPr>
              <w:spacing w:before="0" w:beforeAutospacing="off" w:after="0" w:afterAutospacing="off"/>
              <w:jc w:val="both"/>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118</w:t>
            </w:r>
          </w:p>
        </w:tc>
      </w:tr>
      <w:tr w:rsidR="711688CB" w:rsidTr="711688CB" w14:paraId="670DFE68">
        <w:trPr>
          <w:trHeight w:val="300"/>
        </w:trPr>
        <w:tc>
          <w:tcPr>
            <w:tcW w:w="2415" w:type="dxa"/>
            <w:tcBorders>
              <w:top w:val="single" w:sz="8"/>
              <w:left w:val="single" w:sz="8"/>
              <w:bottom w:val="single" w:sz="8"/>
              <w:right w:val="single" w:sz="8"/>
            </w:tcBorders>
            <w:tcMar>
              <w:left w:w="70" w:type="dxa"/>
              <w:right w:w="70" w:type="dxa"/>
            </w:tcMar>
            <w:vAlign w:val="center"/>
          </w:tcPr>
          <w:p w:rsidR="711688CB" w:rsidP="711688CB" w:rsidRDefault="711688CB" w14:paraId="3F3C72FD" w14:textId="6D88F8FE">
            <w:pPr>
              <w:spacing w:before="0" w:beforeAutospacing="off" w:after="0" w:afterAutospacing="off"/>
              <w:jc w:val="both"/>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Junio de 2026</w:t>
            </w:r>
          </w:p>
        </w:tc>
        <w:tc>
          <w:tcPr>
            <w:tcW w:w="2340" w:type="dxa"/>
            <w:tcBorders>
              <w:top w:val="single" w:sz="8"/>
              <w:left w:val="single" w:sz="8"/>
              <w:bottom w:val="single" w:sz="8"/>
              <w:right w:val="single" w:sz="8"/>
            </w:tcBorders>
            <w:tcMar>
              <w:left w:w="70" w:type="dxa"/>
              <w:right w:w="70" w:type="dxa"/>
            </w:tcMar>
            <w:vAlign w:val="center"/>
          </w:tcPr>
          <w:p w:rsidR="711688CB" w:rsidP="711688CB" w:rsidRDefault="711688CB" w14:paraId="42485820" w14:textId="173A10A0">
            <w:pPr>
              <w:spacing w:before="0" w:beforeAutospacing="off" w:after="0" w:afterAutospacing="off"/>
              <w:jc w:val="both"/>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565</w:t>
            </w:r>
          </w:p>
        </w:tc>
        <w:tc>
          <w:tcPr>
            <w:tcW w:w="1800" w:type="dxa"/>
            <w:tcBorders>
              <w:top w:val="single" w:sz="8"/>
              <w:left w:val="single" w:sz="8"/>
              <w:bottom w:val="single" w:sz="8"/>
              <w:right w:val="single" w:sz="8"/>
            </w:tcBorders>
            <w:tcMar>
              <w:left w:w="70" w:type="dxa"/>
              <w:right w:w="70" w:type="dxa"/>
            </w:tcMar>
            <w:vAlign w:val="center"/>
          </w:tcPr>
          <w:p w:rsidR="711688CB" w:rsidP="711688CB" w:rsidRDefault="711688CB" w14:paraId="01247829" w14:textId="3969C226">
            <w:pPr>
              <w:spacing w:before="0" w:beforeAutospacing="off" w:after="0" w:afterAutospacing="off"/>
              <w:jc w:val="both"/>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683</w:t>
            </w:r>
          </w:p>
        </w:tc>
      </w:tr>
    </w:tbl>
    <w:p w:rsidR="711688CB" w:rsidP="711688CB" w:rsidRDefault="711688CB" w14:paraId="39ECA37C" w14:textId="474EA8FB">
      <w:pPr>
        <w:bidi w:val="0"/>
        <w:spacing w:after="160" w:afterAutospacing="off" w:line="276"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p>
    <w:p w:rsidR="6F779C37" w:rsidP="711688CB" w:rsidRDefault="6F779C37" w14:paraId="075BE5D9" w14:textId="020B4F06">
      <w:pPr>
        <w:bidi w:val="0"/>
        <w:spacing w:after="16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r w:rsidRPr="711688CB" w:rsidR="6F779C37">
        <w:rPr>
          <w:rFonts w:ascii="Arial" w:hAnsi="Arial" w:eastAsia="Arial" w:cs="Arial" w:asciiTheme="minorAscii" w:hAnsiTheme="minorAscii" w:eastAsiaTheme="minorAscii" w:cstheme="minorBidi"/>
          <w:noProof w:val="0"/>
          <w:color w:val="auto"/>
          <w:sz w:val="22"/>
          <w:szCs w:val="22"/>
          <w:lang w:val="es-ES" w:eastAsia="en-US" w:bidi="ar-SA"/>
        </w:rPr>
        <w:t>Con fundamento en dicha programación, al cierre del mes de junio de 2026 debían encontrarse 683 usuarios beneficiados, entendiendo por tal aquellos cuyas soluciones hubiesen culminado todas las etapas requeridas para su entrada en operación.</w:t>
      </w:r>
    </w:p>
    <w:p w:rsidR="6F779C37" w:rsidP="711688CB" w:rsidRDefault="6F779C37" w14:paraId="13FCFF36" w14:textId="6169FA1C">
      <w:pPr>
        <w:bidi w:val="0"/>
        <w:spacing w:after="16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r w:rsidRPr="711688CB" w:rsidR="6F779C37">
        <w:rPr>
          <w:rFonts w:ascii="Arial" w:hAnsi="Arial" w:eastAsia="Arial" w:cs="Arial" w:asciiTheme="minorAscii" w:hAnsiTheme="minorAscii" w:eastAsiaTheme="minorAscii" w:cstheme="minorBidi"/>
          <w:noProof w:val="0"/>
          <w:color w:val="auto"/>
          <w:sz w:val="22"/>
          <w:szCs w:val="22"/>
          <w:lang w:val="es-ES" w:eastAsia="en-US" w:bidi="ar-SA"/>
        </w:rPr>
        <w:t xml:space="preserve">No obstante, de acuerdo con el Informe de Avance remitido por GECELCA con corte al 26 de junio </w:t>
      </w:r>
      <w:r w:rsidRPr="711688CB" w:rsidR="6F779C37">
        <w:rPr>
          <w:rFonts w:ascii="Arial" w:hAnsi="Arial" w:eastAsia="Arial" w:cs="Arial" w:asciiTheme="minorAscii" w:hAnsiTheme="minorAscii" w:eastAsiaTheme="minorAscii" w:cstheme="minorBidi"/>
          <w:noProof w:val="0"/>
          <w:color w:val="auto"/>
          <w:sz w:val="22"/>
          <w:szCs w:val="22"/>
          <w:lang w:val="es-ES" w:eastAsia="en-US" w:bidi="ar-SA"/>
        </w:rPr>
        <w:t>reportada</w:t>
      </w:r>
      <w:r w:rsidRPr="711688CB" w:rsidR="6F779C37">
        <w:rPr>
          <w:rFonts w:ascii="Arial" w:hAnsi="Arial" w:eastAsia="Arial" w:cs="Arial" w:asciiTheme="minorAscii" w:hAnsiTheme="minorAscii" w:eastAsiaTheme="minorAscii" w:cstheme="minorBidi"/>
          <w:noProof w:val="0"/>
          <w:color w:val="auto"/>
          <w:sz w:val="22"/>
          <w:szCs w:val="22"/>
          <w:lang w:val="es-ES" w:eastAsia="en-US" w:bidi="ar-SA"/>
        </w:rPr>
        <w:t xml:space="preserve"> de 2026, el estado de ejecución reportado es el siguiente:</w:t>
      </w:r>
    </w:p>
    <w:tbl>
      <w:tblPr>
        <w:tblStyle w:val="TableNormal"/>
        <w:bidiVisual w:val="0"/>
        <w:tblW w:w="0" w:type="auto"/>
        <w:tblLook w:val="04A0" w:firstRow="1" w:lastRow="0" w:firstColumn="1" w:lastColumn="0" w:noHBand="0" w:noVBand="1"/>
      </w:tblPr>
      <w:tblGrid>
        <w:gridCol w:w="4860"/>
        <w:gridCol w:w="1335"/>
        <w:gridCol w:w="2700"/>
      </w:tblGrid>
      <w:tr w:rsidR="711688CB" w:rsidTr="711688CB" w14:paraId="5CE4C45D">
        <w:trPr>
          <w:trHeight w:val="60"/>
        </w:trPr>
        <w:tc>
          <w:tcPr>
            <w:tcW w:w="4860" w:type="dxa"/>
            <w:tcBorders>
              <w:top w:val="single" w:sz="8"/>
              <w:left w:val="single" w:sz="8"/>
              <w:bottom w:val="single" w:sz="8"/>
              <w:right w:val="single" w:sz="8"/>
            </w:tcBorders>
            <w:tcMar>
              <w:left w:w="70" w:type="dxa"/>
              <w:right w:w="70" w:type="dxa"/>
            </w:tcMar>
            <w:vAlign w:val="center"/>
          </w:tcPr>
          <w:p w:rsidR="711688CB" w:rsidP="711688CB" w:rsidRDefault="711688CB" w14:paraId="09646F46" w14:textId="7772D730">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 xml:space="preserve">Actividad </w:t>
            </w:r>
          </w:p>
        </w:tc>
        <w:tc>
          <w:tcPr>
            <w:tcW w:w="1335" w:type="dxa"/>
            <w:tcBorders>
              <w:top w:val="single" w:sz="8"/>
              <w:left w:val="single" w:sz="8"/>
              <w:bottom w:val="single" w:sz="8"/>
              <w:right w:val="single" w:sz="8"/>
            </w:tcBorders>
            <w:tcMar>
              <w:left w:w="70" w:type="dxa"/>
              <w:right w:w="70" w:type="dxa"/>
            </w:tcMar>
            <w:vAlign w:val="center"/>
          </w:tcPr>
          <w:p w:rsidR="711688CB" w:rsidP="711688CB" w:rsidRDefault="711688CB" w14:paraId="7A9FB337" w14:textId="49B3DF9E">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Viviendas</w:t>
            </w:r>
          </w:p>
        </w:tc>
        <w:tc>
          <w:tcPr>
            <w:tcW w:w="2700" w:type="dxa"/>
            <w:tcBorders>
              <w:top w:val="single" w:sz="8"/>
              <w:left w:val="single" w:sz="8"/>
              <w:bottom w:val="single" w:sz="8"/>
              <w:right w:val="single" w:sz="8"/>
            </w:tcBorders>
            <w:tcMar>
              <w:left w:w="70" w:type="dxa"/>
              <w:right w:w="70" w:type="dxa"/>
            </w:tcMar>
            <w:vAlign w:val="center"/>
          </w:tcPr>
          <w:p w:rsidR="711688CB" w:rsidP="711688CB" w:rsidRDefault="711688CB" w14:paraId="62FC31BC" w14:textId="2902D62E">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Avance de la actividad</w:t>
            </w:r>
          </w:p>
        </w:tc>
      </w:tr>
      <w:tr w:rsidR="711688CB" w:rsidTr="711688CB" w14:paraId="2713B559">
        <w:trPr>
          <w:trHeight w:val="60"/>
        </w:trPr>
        <w:tc>
          <w:tcPr>
            <w:tcW w:w="4860" w:type="dxa"/>
            <w:tcBorders>
              <w:top w:val="single" w:sz="8"/>
              <w:left w:val="single" w:sz="8"/>
              <w:bottom w:val="single" w:sz="8"/>
              <w:right w:val="single" w:sz="8"/>
            </w:tcBorders>
            <w:tcMar>
              <w:left w:w="70" w:type="dxa"/>
              <w:right w:w="70" w:type="dxa"/>
            </w:tcMar>
            <w:vAlign w:val="center"/>
          </w:tcPr>
          <w:p w:rsidR="711688CB" w:rsidP="711688CB" w:rsidRDefault="711688CB" w14:paraId="2E2B03E2" w14:textId="23163A1B">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Viviendas con estructura instalada</w:t>
            </w:r>
          </w:p>
        </w:tc>
        <w:tc>
          <w:tcPr>
            <w:tcW w:w="1335" w:type="dxa"/>
            <w:tcBorders>
              <w:top w:val="single" w:sz="8"/>
              <w:left w:val="single" w:sz="8"/>
              <w:bottom w:val="single" w:sz="8"/>
              <w:right w:val="single" w:sz="8"/>
            </w:tcBorders>
            <w:tcMar>
              <w:left w:w="70" w:type="dxa"/>
              <w:right w:w="70" w:type="dxa"/>
            </w:tcMar>
            <w:vAlign w:val="center"/>
          </w:tcPr>
          <w:p w:rsidR="067F7694" w:rsidP="711688CB" w:rsidRDefault="067F7694" w14:paraId="0870B071" w14:textId="10BCA603">
            <w:pPr>
              <w:bidi w:val="0"/>
              <w:spacing w:before="0" w:beforeAutospacing="off" w:after="0" w:afterAutospacing="off" w:line="240" w:lineRule="auto"/>
              <w:jc w:val="both"/>
            </w:pPr>
            <w:r w:rsidRPr="711688CB" w:rsidR="067F7694">
              <w:rPr>
                <w:rFonts w:ascii="Aptos" w:hAnsi="Aptos" w:eastAsia="Aptos" w:cs="Aptos"/>
                <w:color w:val="000000" w:themeColor="text1" w:themeTint="FF" w:themeShade="FF"/>
                <w:sz w:val="24"/>
                <w:szCs w:val="24"/>
              </w:rPr>
              <w:t>504</w:t>
            </w:r>
          </w:p>
        </w:tc>
        <w:tc>
          <w:tcPr>
            <w:tcW w:w="2700" w:type="dxa"/>
            <w:tcBorders>
              <w:top w:val="single" w:sz="8"/>
              <w:left w:val="single" w:sz="8"/>
              <w:bottom w:val="single" w:sz="8"/>
              <w:right w:val="single" w:sz="8"/>
            </w:tcBorders>
            <w:tcMar>
              <w:left w:w="70" w:type="dxa"/>
              <w:right w:w="70" w:type="dxa"/>
            </w:tcMar>
            <w:vAlign w:val="center"/>
          </w:tcPr>
          <w:p w:rsidR="711688CB" w:rsidP="711688CB" w:rsidRDefault="711688CB" w14:paraId="047A9E79" w14:textId="75A11378">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18,</w:t>
            </w:r>
            <w:r w:rsidRPr="711688CB" w:rsidR="03AFC8CB">
              <w:rPr>
                <w:rFonts w:ascii="Aptos" w:hAnsi="Aptos" w:eastAsia="Aptos" w:cs="Aptos"/>
                <w:color w:val="000000" w:themeColor="text1" w:themeTint="FF" w:themeShade="FF"/>
                <w:sz w:val="24"/>
                <w:szCs w:val="24"/>
              </w:rPr>
              <w:t>0</w:t>
            </w:r>
            <w:r w:rsidRPr="711688CB" w:rsidR="711688CB">
              <w:rPr>
                <w:rFonts w:ascii="Aptos" w:hAnsi="Aptos" w:eastAsia="Aptos" w:cs="Aptos"/>
                <w:color w:val="000000" w:themeColor="text1" w:themeTint="FF" w:themeShade="FF"/>
                <w:sz w:val="24"/>
                <w:szCs w:val="24"/>
              </w:rPr>
              <w:t>6%</w:t>
            </w:r>
          </w:p>
        </w:tc>
      </w:tr>
      <w:tr w:rsidR="711688CB" w:rsidTr="711688CB" w14:paraId="0BEA327D">
        <w:trPr>
          <w:trHeight w:val="60"/>
        </w:trPr>
        <w:tc>
          <w:tcPr>
            <w:tcW w:w="4860" w:type="dxa"/>
            <w:tcBorders>
              <w:top w:val="single" w:sz="8"/>
              <w:left w:val="single" w:sz="8"/>
              <w:bottom w:val="single" w:sz="8"/>
              <w:right w:val="single" w:sz="8"/>
            </w:tcBorders>
            <w:tcMar>
              <w:left w:w="70" w:type="dxa"/>
              <w:right w:w="70" w:type="dxa"/>
            </w:tcMar>
            <w:vAlign w:val="center"/>
          </w:tcPr>
          <w:p w:rsidR="711688CB" w:rsidP="711688CB" w:rsidRDefault="711688CB" w14:paraId="736C7656" w14:textId="2AFC31BC">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Viviendas con módulos instalados</w:t>
            </w:r>
          </w:p>
        </w:tc>
        <w:tc>
          <w:tcPr>
            <w:tcW w:w="1335" w:type="dxa"/>
            <w:tcBorders>
              <w:top w:val="single" w:sz="8"/>
              <w:left w:val="single" w:sz="8"/>
              <w:bottom w:val="single" w:sz="8"/>
              <w:right w:val="single" w:sz="8"/>
            </w:tcBorders>
            <w:tcMar>
              <w:left w:w="70" w:type="dxa"/>
              <w:right w:w="70" w:type="dxa"/>
            </w:tcMar>
            <w:vAlign w:val="center"/>
          </w:tcPr>
          <w:p w:rsidR="273EE54F" w:rsidP="711688CB" w:rsidRDefault="273EE54F" w14:paraId="42CC351E" w14:textId="75CA0791">
            <w:pPr>
              <w:bidi w:val="0"/>
              <w:spacing w:before="0" w:beforeAutospacing="off" w:after="0" w:afterAutospacing="off" w:line="240" w:lineRule="auto"/>
              <w:jc w:val="both"/>
            </w:pPr>
            <w:r w:rsidRPr="711688CB" w:rsidR="273EE54F">
              <w:rPr>
                <w:rFonts w:ascii="Aptos" w:hAnsi="Aptos" w:eastAsia="Aptos" w:cs="Aptos"/>
                <w:color w:val="000000" w:themeColor="text1" w:themeTint="FF" w:themeShade="FF"/>
                <w:sz w:val="24"/>
                <w:szCs w:val="24"/>
              </w:rPr>
              <w:t>503</w:t>
            </w:r>
          </w:p>
        </w:tc>
        <w:tc>
          <w:tcPr>
            <w:tcW w:w="2700" w:type="dxa"/>
            <w:tcBorders>
              <w:top w:val="single" w:sz="8"/>
              <w:left w:val="single" w:sz="8"/>
              <w:bottom w:val="single" w:sz="8"/>
              <w:right w:val="single" w:sz="8"/>
            </w:tcBorders>
            <w:tcMar>
              <w:left w:w="70" w:type="dxa"/>
              <w:right w:w="70" w:type="dxa"/>
            </w:tcMar>
            <w:vAlign w:val="center"/>
          </w:tcPr>
          <w:p w:rsidR="711688CB" w:rsidP="711688CB" w:rsidRDefault="711688CB" w14:paraId="32955291" w14:textId="6A11B426">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18,</w:t>
            </w:r>
            <w:r w:rsidRPr="711688CB" w:rsidR="5C29B86F">
              <w:rPr>
                <w:rFonts w:ascii="Aptos" w:hAnsi="Aptos" w:eastAsia="Aptos" w:cs="Aptos"/>
                <w:color w:val="000000" w:themeColor="text1" w:themeTint="FF" w:themeShade="FF"/>
                <w:sz w:val="24"/>
                <w:szCs w:val="24"/>
              </w:rPr>
              <w:t>03</w:t>
            </w:r>
            <w:r w:rsidRPr="711688CB" w:rsidR="711688CB">
              <w:rPr>
                <w:rFonts w:ascii="Aptos" w:hAnsi="Aptos" w:eastAsia="Aptos" w:cs="Aptos"/>
                <w:color w:val="000000" w:themeColor="text1" w:themeTint="FF" w:themeShade="FF"/>
                <w:sz w:val="24"/>
                <w:szCs w:val="24"/>
              </w:rPr>
              <w:t>%</w:t>
            </w:r>
          </w:p>
        </w:tc>
      </w:tr>
      <w:tr w:rsidR="711688CB" w:rsidTr="711688CB" w14:paraId="2BF41372">
        <w:trPr>
          <w:trHeight w:val="60"/>
        </w:trPr>
        <w:tc>
          <w:tcPr>
            <w:tcW w:w="4860" w:type="dxa"/>
            <w:tcBorders>
              <w:top w:val="single" w:sz="8"/>
              <w:left w:val="single" w:sz="8"/>
              <w:bottom w:val="single" w:sz="8"/>
              <w:right w:val="single" w:sz="8"/>
            </w:tcBorders>
            <w:tcMar>
              <w:left w:w="70" w:type="dxa"/>
              <w:right w:w="70" w:type="dxa"/>
            </w:tcMar>
            <w:vAlign w:val="center"/>
          </w:tcPr>
          <w:p w:rsidR="711688CB" w:rsidP="711688CB" w:rsidRDefault="711688CB" w14:paraId="7002119B" w14:textId="1FC1385B">
            <w:pPr>
              <w:bidi w:val="0"/>
              <w:spacing w:before="0" w:beforeAutospacing="off" w:after="0" w:afterAutospacing="off" w:line="240" w:lineRule="auto"/>
              <w:jc w:val="both"/>
              <w:rPr>
                <w:rFonts w:ascii="Arial" w:hAnsi="Arial" w:eastAsia="Arial" w:cs="Arial" w:asciiTheme="minorAscii" w:hAnsiTheme="minorAscii" w:eastAsiaTheme="minorAscii" w:cstheme="minorAscii"/>
                <w:sz w:val="22"/>
                <w:szCs w:val="22"/>
              </w:rPr>
            </w:pPr>
            <w:r w:rsidRPr="711688CB" w:rsidR="711688CB">
              <w:rPr>
                <w:rFonts w:ascii="Aptos" w:hAnsi="Aptos" w:eastAsia="Aptos" w:cs="Aptos"/>
                <w:color w:val="000000" w:themeColor="text1" w:themeTint="FF" w:themeShade="FF"/>
                <w:sz w:val="24"/>
                <w:szCs w:val="24"/>
              </w:rPr>
              <w:t xml:space="preserve">Viviendas con </w:t>
            </w:r>
            <w:r w:rsidRPr="711688CB" w:rsidR="28199BCD">
              <w:rPr>
                <w:rFonts w:ascii="Arial" w:hAnsi="Arial" w:eastAsia="Arial" w:cs="Arial" w:asciiTheme="minorAscii" w:hAnsiTheme="minorAscii" w:eastAsiaTheme="minorAscii" w:cstheme="minorAscii"/>
                <w:color w:val="auto"/>
                <w:sz w:val="22"/>
                <w:szCs w:val="22"/>
                <w:lang w:eastAsia="en-US" w:bidi="ar-SA"/>
              </w:rPr>
              <w:t>micro inversores</w:t>
            </w:r>
            <w:r w:rsidRPr="711688CB" w:rsidR="711688CB">
              <w:rPr>
                <w:rFonts w:ascii="Aptos" w:hAnsi="Aptos" w:eastAsia="Aptos" w:cs="Aptos"/>
                <w:color w:val="000000" w:themeColor="text1" w:themeTint="FF" w:themeShade="FF"/>
                <w:sz w:val="24"/>
                <w:szCs w:val="24"/>
              </w:rPr>
              <w:t xml:space="preserve"> instalados</w:t>
            </w:r>
          </w:p>
        </w:tc>
        <w:tc>
          <w:tcPr>
            <w:tcW w:w="1335" w:type="dxa"/>
            <w:tcBorders>
              <w:top w:val="single" w:sz="8"/>
              <w:left w:val="single" w:sz="8"/>
              <w:bottom w:val="single" w:sz="8"/>
              <w:right w:val="single" w:sz="8"/>
            </w:tcBorders>
            <w:tcMar>
              <w:left w:w="70" w:type="dxa"/>
              <w:right w:w="70" w:type="dxa"/>
            </w:tcMar>
            <w:vAlign w:val="center"/>
          </w:tcPr>
          <w:p w:rsidR="2426FE06" w:rsidP="711688CB" w:rsidRDefault="2426FE06" w14:paraId="2415C33B" w14:textId="21BE869F">
            <w:pPr>
              <w:bidi w:val="0"/>
              <w:spacing w:before="0" w:beforeAutospacing="off" w:after="0" w:afterAutospacing="off" w:line="240" w:lineRule="auto"/>
              <w:jc w:val="both"/>
            </w:pPr>
            <w:r w:rsidRPr="711688CB" w:rsidR="2426FE06">
              <w:rPr>
                <w:rFonts w:ascii="Aptos" w:hAnsi="Aptos" w:eastAsia="Aptos" w:cs="Aptos"/>
                <w:color w:val="000000" w:themeColor="text1" w:themeTint="FF" w:themeShade="FF"/>
                <w:sz w:val="24"/>
                <w:szCs w:val="24"/>
              </w:rPr>
              <w:t>413</w:t>
            </w:r>
          </w:p>
        </w:tc>
        <w:tc>
          <w:tcPr>
            <w:tcW w:w="2700" w:type="dxa"/>
            <w:tcBorders>
              <w:top w:val="single" w:sz="8"/>
              <w:left w:val="single" w:sz="8"/>
              <w:bottom w:val="single" w:sz="8"/>
              <w:right w:val="single" w:sz="8"/>
            </w:tcBorders>
            <w:tcMar>
              <w:left w:w="70" w:type="dxa"/>
              <w:right w:w="70" w:type="dxa"/>
            </w:tcMar>
            <w:vAlign w:val="center"/>
          </w:tcPr>
          <w:p w:rsidR="608F3F8D" w:rsidP="711688CB" w:rsidRDefault="608F3F8D" w14:paraId="3AC2DBC5" w14:textId="5EA5E19F">
            <w:pPr>
              <w:bidi w:val="0"/>
              <w:spacing w:before="0" w:beforeAutospacing="off" w:after="0" w:afterAutospacing="off" w:line="240" w:lineRule="auto"/>
              <w:jc w:val="both"/>
            </w:pPr>
            <w:r w:rsidRPr="711688CB" w:rsidR="608F3F8D">
              <w:rPr>
                <w:rFonts w:ascii="Aptos" w:hAnsi="Aptos" w:eastAsia="Aptos" w:cs="Aptos"/>
                <w:color w:val="000000" w:themeColor="text1" w:themeTint="FF" w:themeShade="FF"/>
                <w:sz w:val="24"/>
                <w:szCs w:val="24"/>
              </w:rPr>
              <w:t>11,10</w:t>
            </w:r>
            <w:r w:rsidRPr="711688CB" w:rsidR="711688CB">
              <w:rPr>
                <w:rFonts w:ascii="Aptos" w:hAnsi="Aptos" w:eastAsia="Aptos" w:cs="Aptos"/>
                <w:color w:val="000000" w:themeColor="text1" w:themeTint="FF" w:themeShade="FF"/>
                <w:sz w:val="24"/>
                <w:szCs w:val="24"/>
              </w:rPr>
              <w:t>%</w:t>
            </w:r>
          </w:p>
        </w:tc>
      </w:tr>
      <w:tr w:rsidR="711688CB" w:rsidTr="711688CB" w14:paraId="7C187838">
        <w:trPr>
          <w:trHeight w:val="60"/>
        </w:trPr>
        <w:tc>
          <w:tcPr>
            <w:tcW w:w="4860" w:type="dxa"/>
            <w:tcBorders>
              <w:top w:val="single" w:sz="8"/>
              <w:left w:val="single" w:sz="8"/>
              <w:bottom w:val="single" w:sz="8"/>
              <w:right w:val="single" w:sz="8"/>
            </w:tcBorders>
            <w:tcMar>
              <w:left w:w="70" w:type="dxa"/>
              <w:right w:w="70" w:type="dxa"/>
            </w:tcMar>
            <w:vAlign w:val="center"/>
          </w:tcPr>
          <w:p w:rsidR="711688CB" w:rsidP="711688CB" w:rsidRDefault="711688CB" w14:paraId="793CEEB5" w14:textId="3CCF97C0">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Viviendas con instalación interna</w:t>
            </w:r>
          </w:p>
        </w:tc>
        <w:tc>
          <w:tcPr>
            <w:tcW w:w="1335" w:type="dxa"/>
            <w:tcBorders>
              <w:top w:val="single" w:sz="8"/>
              <w:left w:val="single" w:sz="8"/>
              <w:bottom w:val="single" w:sz="8"/>
              <w:right w:val="single" w:sz="8"/>
            </w:tcBorders>
            <w:tcMar>
              <w:left w:w="70" w:type="dxa"/>
              <w:right w:w="70" w:type="dxa"/>
            </w:tcMar>
            <w:vAlign w:val="center"/>
          </w:tcPr>
          <w:p w:rsidR="711688CB" w:rsidP="711688CB" w:rsidRDefault="711688CB" w14:paraId="385996C7" w14:textId="1A2E3272">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453</w:t>
            </w:r>
          </w:p>
        </w:tc>
        <w:tc>
          <w:tcPr>
            <w:tcW w:w="2700" w:type="dxa"/>
            <w:tcBorders>
              <w:top w:val="single" w:sz="8"/>
              <w:left w:val="single" w:sz="8"/>
              <w:bottom w:val="single" w:sz="8"/>
              <w:right w:val="single" w:sz="8"/>
            </w:tcBorders>
            <w:tcMar>
              <w:left w:w="70" w:type="dxa"/>
              <w:right w:w="70" w:type="dxa"/>
            </w:tcMar>
            <w:vAlign w:val="center"/>
          </w:tcPr>
          <w:p w:rsidR="711688CB" w:rsidP="711688CB" w:rsidRDefault="711688CB" w14:paraId="5D610EBE" w14:textId="6AA1FF04">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81,18%</w:t>
            </w:r>
          </w:p>
        </w:tc>
      </w:tr>
      <w:tr w:rsidR="711688CB" w:rsidTr="711688CB" w14:paraId="1DBDDA55">
        <w:trPr>
          <w:trHeight w:val="60"/>
        </w:trPr>
        <w:tc>
          <w:tcPr>
            <w:tcW w:w="4860" w:type="dxa"/>
            <w:tcBorders>
              <w:top w:val="single" w:sz="8"/>
              <w:left w:val="single" w:sz="8"/>
              <w:bottom w:val="single" w:sz="8"/>
              <w:right w:val="single" w:sz="8"/>
            </w:tcBorders>
            <w:tcMar>
              <w:left w:w="70" w:type="dxa"/>
              <w:right w:w="70" w:type="dxa"/>
            </w:tcMar>
            <w:vAlign w:val="center"/>
          </w:tcPr>
          <w:p w:rsidR="711688CB" w:rsidP="711688CB" w:rsidRDefault="711688CB" w14:paraId="4F76812D" w14:textId="519A9F99">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Viviendas con colectores y SPT</w:t>
            </w:r>
          </w:p>
        </w:tc>
        <w:tc>
          <w:tcPr>
            <w:tcW w:w="1335" w:type="dxa"/>
            <w:tcBorders>
              <w:top w:val="single" w:sz="8"/>
              <w:left w:val="single" w:sz="8"/>
              <w:bottom w:val="single" w:sz="8"/>
              <w:right w:val="single" w:sz="8"/>
            </w:tcBorders>
            <w:tcMar>
              <w:left w:w="70" w:type="dxa"/>
              <w:right w:w="70" w:type="dxa"/>
            </w:tcMar>
            <w:vAlign w:val="center"/>
          </w:tcPr>
          <w:p w:rsidR="711688CB" w:rsidP="711688CB" w:rsidRDefault="711688CB" w14:paraId="6EF11F97" w14:textId="7B194D2C">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18</w:t>
            </w:r>
          </w:p>
        </w:tc>
        <w:tc>
          <w:tcPr>
            <w:tcW w:w="2700" w:type="dxa"/>
            <w:tcBorders>
              <w:top w:val="single" w:sz="8"/>
              <w:left w:val="single" w:sz="8"/>
              <w:bottom w:val="single" w:sz="8"/>
              <w:right w:val="single" w:sz="8"/>
            </w:tcBorders>
            <w:tcMar>
              <w:left w:w="70" w:type="dxa"/>
              <w:right w:w="70" w:type="dxa"/>
            </w:tcMar>
            <w:vAlign w:val="center"/>
          </w:tcPr>
          <w:p w:rsidR="711688CB" w:rsidP="711688CB" w:rsidRDefault="711688CB" w14:paraId="0DD42EF9" w14:textId="5E97713E">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3,23%</w:t>
            </w:r>
          </w:p>
        </w:tc>
      </w:tr>
      <w:tr w:rsidR="711688CB" w:rsidTr="711688CB" w14:paraId="5D201277">
        <w:trPr>
          <w:trHeight w:val="60"/>
        </w:trPr>
        <w:tc>
          <w:tcPr>
            <w:tcW w:w="4860" w:type="dxa"/>
            <w:tcBorders>
              <w:top w:val="single" w:sz="8"/>
              <w:left w:val="single" w:sz="8"/>
              <w:bottom w:val="single" w:sz="8"/>
              <w:right w:val="single" w:sz="8"/>
            </w:tcBorders>
            <w:tcMar>
              <w:left w:w="70" w:type="dxa"/>
              <w:right w:w="70" w:type="dxa"/>
            </w:tcMar>
            <w:vAlign w:val="center"/>
          </w:tcPr>
          <w:p w:rsidR="711688CB" w:rsidP="711688CB" w:rsidRDefault="711688CB" w14:paraId="4B1BAC09" w14:textId="2AC73096">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Viviendas con RETIE</w:t>
            </w:r>
          </w:p>
        </w:tc>
        <w:tc>
          <w:tcPr>
            <w:tcW w:w="1335" w:type="dxa"/>
            <w:tcBorders>
              <w:top w:val="single" w:sz="8"/>
              <w:left w:val="single" w:sz="8"/>
              <w:bottom w:val="single" w:sz="8"/>
              <w:right w:val="single" w:sz="8"/>
            </w:tcBorders>
            <w:tcMar>
              <w:left w:w="70" w:type="dxa"/>
              <w:right w:w="70" w:type="dxa"/>
            </w:tcMar>
            <w:vAlign w:val="center"/>
          </w:tcPr>
          <w:p w:rsidR="711688CB" w:rsidP="711688CB" w:rsidRDefault="711688CB" w14:paraId="37AEC1C8" w14:textId="6323EB2B">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0</w:t>
            </w:r>
          </w:p>
        </w:tc>
        <w:tc>
          <w:tcPr>
            <w:tcW w:w="2700" w:type="dxa"/>
            <w:tcBorders>
              <w:top w:val="single" w:sz="8"/>
              <w:left w:val="single" w:sz="8"/>
              <w:bottom w:val="single" w:sz="8"/>
              <w:right w:val="single" w:sz="8"/>
            </w:tcBorders>
            <w:tcMar>
              <w:left w:w="70" w:type="dxa"/>
              <w:right w:w="70" w:type="dxa"/>
            </w:tcMar>
            <w:vAlign w:val="center"/>
          </w:tcPr>
          <w:p w:rsidR="711688CB" w:rsidP="711688CB" w:rsidRDefault="711688CB" w14:paraId="3470F48C" w14:textId="46C1FEC2">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0,00%</w:t>
            </w:r>
          </w:p>
        </w:tc>
      </w:tr>
      <w:tr w:rsidR="711688CB" w:rsidTr="711688CB" w14:paraId="704E1121">
        <w:trPr>
          <w:trHeight w:val="60"/>
        </w:trPr>
        <w:tc>
          <w:tcPr>
            <w:tcW w:w="4860" w:type="dxa"/>
            <w:tcBorders>
              <w:top w:val="single" w:sz="8"/>
              <w:left w:val="single" w:sz="8"/>
              <w:bottom w:val="single" w:sz="8"/>
              <w:right w:val="single" w:sz="8"/>
            </w:tcBorders>
            <w:tcMar>
              <w:left w:w="70" w:type="dxa"/>
              <w:right w:w="70" w:type="dxa"/>
            </w:tcMar>
            <w:vAlign w:val="center"/>
          </w:tcPr>
          <w:p w:rsidR="711688CB" w:rsidP="711688CB" w:rsidRDefault="711688CB" w14:paraId="0CAC52B5" w14:textId="1C972B45">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Medidores bidireccionales instalados</w:t>
            </w:r>
          </w:p>
        </w:tc>
        <w:tc>
          <w:tcPr>
            <w:tcW w:w="1335" w:type="dxa"/>
            <w:tcBorders>
              <w:top w:val="single" w:sz="8"/>
              <w:left w:val="single" w:sz="8"/>
              <w:bottom w:val="single" w:sz="8"/>
              <w:right w:val="single" w:sz="8"/>
            </w:tcBorders>
            <w:tcMar>
              <w:left w:w="70" w:type="dxa"/>
              <w:right w:w="70" w:type="dxa"/>
            </w:tcMar>
            <w:vAlign w:val="center"/>
          </w:tcPr>
          <w:p w:rsidR="711688CB" w:rsidP="711688CB" w:rsidRDefault="711688CB" w14:paraId="24B2C905" w14:textId="29AEDBE0">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100</w:t>
            </w:r>
          </w:p>
        </w:tc>
        <w:tc>
          <w:tcPr>
            <w:tcW w:w="2700" w:type="dxa"/>
            <w:tcBorders>
              <w:top w:val="single" w:sz="8"/>
              <w:left w:val="single" w:sz="8"/>
              <w:bottom w:val="single" w:sz="8"/>
              <w:right w:val="single" w:sz="8"/>
            </w:tcBorders>
            <w:tcMar>
              <w:left w:w="70" w:type="dxa"/>
              <w:right w:w="70" w:type="dxa"/>
            </w:tcMar>
            <w:vAlign w:val="center"/>
          </w:tcPr>
          <w:p w:rsidR="711688CB" w:rsidP="711688CB" w:rsidRDefault="711688CB" w14:paraId="29E8DB77" w14:textId="0CD2BDE4">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17,92%</w:t>
            </w:r>
          </w:p>
        </w:tc>
      </w:tr>
      <w:tr w:rsidR="711688CB" w:rsidTr="711688CB" w14:paraId="08A4CCDB">
        <w:trPr>
          <w:trHeight w:val="255"/>
        </w:trPr>
        <w:tc>
          <w:tcPr>
            <w:tcW w:w="4860" w:type="dxa"/>
            <w:tcBorders>
              <w:top w:val="single" w:sz="8"/>
              <w:left w:val="single" w:sz="8"/>
              <w:bottom w:val="single" w:sz="8"/>
              <w:right w:val="single" w:sz="8"/>
            </w:tcBorders>
            <w:tcMar>
              <w:left w:w="70" w:type="dxa"/>
              <w:right w:w="70" w:type="dxa"/>
            </w:tcMar>
            <w:vAlign w:val="center"/>
          </w:tcPr>
          <w:p w:rsidR="711688CB" w:rsidP="711688CB" w:rsidRDefault="711688CB" w14:paraId="636C3FCC" w14:textId="11E28EBD">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Viviendas con legalización ante el Operador de Red</w:t>
            </w:r>
          </w:p>
        </w:tc>
        <w:tc>
          <w:tcPr>
            <w:tcW w:w="1335" w:type="dxa"/>
            <w:tcBorders>
              <w:top w:val="single" w:sz="8"/>
              <w:left w:val="single" w:sz="8"/>
              <w:bottom w:val="single" w:sz="8"/>
              <w:right w:val="single" w:sz="8"/>
            </w:tcBorders>
            <w:tcMar>
              <w:left w:w="70" w:type="dxa"/>
              <w:right w:w="70" w:type="dxa"/>
            </w:tcMar>
            <w:vAlign w:val="center"/>
          </w:tcPr>
          <w:p w:rsidR="711688CB" w:rsidP="711688CB" w:rsidRDefault="711688CB" w14:paraId="646BC1C9" w14:textId="3EA7911F">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0</w:t>
            </w:r>
          </w:p>
        </w:tc>
        <w:tc>
          <w:tcPr>
            <w:tcW w:w="2700" w:type="dxa"/>
            <w:tcBorders>
              <w:top w:val="single" w:sz="8"/>
              <w:left w:val="single" w:sz="8"/>
              <w:bottom w:val="single" w:sz="8"/>
              <w:right w:val="single" w:sz="8"/>
            </w:tcBorders>
            <w:tcMar>
              <w:left w:w="70" w:type="dxa"/>
              <w:right w:w="70" w:type="dxa"/>
            </w:tcMar>
            <w:vAlign w:val="center"/>
          </w:tcPr>
          <w:p w:rsidR="711688CB" w:rsidP="711688CB" w:rsidRDefault="711688CB" w14:paraId="586D62C9" w14:textId="016D3E16">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0,00%</w:t>
            </w:r>
          </w:p>
        </w:tc>
      </w:tr>
      <w:tr w:rsidR="711688CB" w:rsidTr="711688CB" w14:paraId="4254658C">
        <w:trPr>
          <w:trHeight w:val="60"/>
        </w:trPr>
        <w:tc>
          <w:tcPr>
            <w:tcW w:w="4860" w:type="dxa"/>
            <w:tcBorders>
              <w:top w:val="single" w:sz="8"/>
              <w:left w:val="single" w:sz="8"/>
              <w:bottom w:val="single" w:sz="8"/>
              <w:right w:val="single" w:sz="8"/>
            </w:tcBorders>
            <w:tcMar>
              <w:left w:w="70" w:type="dxa"/>
              <w:right w:w="70" w:type="dxa"/>
            </w:tcMar>
            <w:vAlign w:val="center"/>
          </w:tcPr>
          <w:p w:rsidR="711688CB" w:rsidP="711688CB" w:rsidRDefault="711688CB" w14:paraId="59EE466F" w14:textId="2321C3A8">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Avance físico consolidado reportado</w:t>
            </w:r>
          </w:p>
        </w:tc>
        <w:tc>
          <w:tcPr>
            <w:tcW w:w="1335" w:type="dxa"/>
            <w:tcBorders>
              <w:top w:val="single" w:sz="8"/>
              <w:left w:val="single" w:sz="8"/>
              <w:bottom w:val="single" w:sz="8"/>
              <w:right w:val="single" w:sz="8"/>
            </w:tcBorders>
            <w:tcMar>
              <w:left w:w="70" w:type="dxa"/>
              <w:right w:w="70" w:type="dxa"/>
            </w:tcMar>
            <w:vAlign w:val="center"/>
          </w:tcPr>
          <w:p w:rsidR="711688CB" w:rsidP="711688CB" w:rsidRDefault="711688CB" w14:paraId="73FB03E5" w14:textId="6D5C3F41">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w:t>
            </w:r>
          </w:p>
        </w:tc>
        <w:tc>
          <w:tcPr>
            <w:tcW w:w="2700" w:type="dxa"/>
            <w:tcBorders>
              <w:top w:val="single" w:sz="8"/>
              <w:left w:val="single" w:sz="8"/>
              <w:bottom w:val="single" w:sz="8"/>
              <w:right w:val="single" w:sz="8"/>
            </w:tcBorders>
            <w:tcMar>
              <w:left w:w="70" w:type="dxa"/>
              <w:right w:w="70" w:type="dxa"/>
            </w:tcMar>
            <w:vAlign w:val="center"/>
          </w:tcPr>
          <w:p w:rsidR="711688CB" w:rsidP="711688CB" w:rsidRDefault="711688CB" w14:paraId="1FABA4C3" w14:textId="6552751E">
            <w:pPr>
              <w:bidi w:val="0"/>
              <w:spacing w:before="0" w:beforeAutospacing="off" w:after="0" w:afterAutospacing="off" w:line="240" w:lineRule="auto"/>
              <w:jc w:val="both"/>
            </w:pPr>
            <w:r w:rsidRPr="711688CB" w:rsidR="711688CB">
              <w:rPr>
                <w:rFonts w:ascii="Aptos" w:hAnsi="Aptos" w:eastAsia="Aptos" w:cs="Aptos"/>
                <w:color w:val="000000" w:themeColor="text1" w:themeTint="FF" w:themeShade="FF"/>
                <w:sz w:val="24"/>
                <w:szCs w:val="24"/>
              </w:rPr>
              <w:t>66,55%</w:t>
            </w:r>
          </w:p>
        </w:tc>
      </w:tr>
    </w:tbl>
    <w:p w:rsidR="6F779C37" w:rsidP="711688CB" w:rsidRDefault="6F779C37" w14:paraId="52B1F5B3" w14:textId="5B02C37C">
      <w:pPr>
        <w:pStyle w:val="Normal"/>
        <w:bidi w:val="0"/>
        <w:spacing w:after="160" w:afterAutospacing="off" w:line="276"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r w:rsidRPr="711688CB" w:rsidR="6F779C37">
        <w:rPr>
          <w:rFonts w:ascii="Arial" w:hAnsi="Arial" w:eastAsia="Arial" w:cs="Arial" w:asciiTheme="minorAscii" w:hAnsiTheme="minorAscii" w:eastAsiaTheme="minorAscii" w:cstheme="minorBidi"/>
          <w:noProof w:val="0"/>
          <w:color w:val="auto"/>
          <w:sz w:val="22"/>
          <w:szCs w:val="22"/>
          <w:lang w:val="es-ES" w:eastAsia="en-US" w:bidi="ar-SA"/>
        </w:rPr>
        <w:t>Ahora bien, teniendo en cuenta que el propio Plan de Ejecución establece que el usuario solo puede ser reconocido como beneficiario una vez la solución entra en operación, y considerando que el reporte de GECELCA evidencia cero (0) viviendas con legalización ante el Operador de Red, no es posible acreditar usuarios beneficiados para el periodo objeto de evaluación.</w:t>
      </w:r>
    </w:p>
    <w:p w:rsidR="6F779C37" w:rsidP="711688CB" w:rsidRDefault="6F779C37" w14:paraId="57765422" w14:textId="03D972FB">
      <w:pPr>
        <w:bidi w:val="0"/>
        <w:spacing w:after="16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r w:rsidRPr="711688CB" w:rsidR="6F779C37">
        <w:rPr>
          <w:rFonts w:ascii="Arial" w:hAnsi="Arial" w:eastAsia="Arial" w:cs="Arial" w:asciiTheme="minorAscii" w:hAnsiTheme="minorAscii" w:eastAsiaTheme="minorAscii" w:cstheme="minorBidi"/>
          <w:noProof w:val="0"/>
          <w:color w:val="auto"/>
          <w:sz w:val="22"/>
          <w:szCs w:val="22"/>
          <w:lang w:val="es-ES" w:eastAsia="en-US" w:bidi="ar-SA"/>
        </w:rPr>
        <w:t>En consecuencia, la comparación entre la meta contractual y el avance efectivamente acreditado es la siguiente:</w:t>
      </w:r>
    </w:p>
    <w:tbl>
      <w:tblPr>
        <w:tblStyle w:val="TableNormal"/>
        <w:bidiVisual w:val="0"/>
        <w:tblW w:w="0" w:type="auto"/>
        <w:jc w:val="center"/>
        <w:tblLook w:val="04A0" w:firstRow="1" w:lastRow="0" w:firstColumn="1" w:lastColumn="0" w:noHBand="0" w:noVBand="1"/>
      </w:tblPr>
      <w:tblGrid>
        <w:gridCol w:w="3765"/>
        <w:gridCol w:w="1485"/>
        <w:gridCol w:w="1290"/>
        <w:gridCol w:w="1275"/>
      </w:tblGrid>
      <w:tr w:rsidR="711688CB" w:rsidTr="711688CB" w14:paraId="2F9026A9">
        <w:trPr>
          <w:trHeight w:val="405"/>
        </w:trPr>
        <w:tc>
          <w:tcPr>
            <w:tcW w:w="3765" w:type="dxa"/>
            <w:tcBorders>
              <w:top w:val="single" w:sz="8"/>
              <w:left w:val="single" w:sz="8"/>
              <w:bottom w:val="single" w:sz="8"/>
              <w:right w:val="single" w:sz="8"/>
            </w:tcBorders>
            <w:tcMar>
              <w:left w:w="70" w:type="dxa"/>
              <w:right w:w="70" w:type="dxa"/>
            </w:tcMar>
            <w:vAlign w:val="center"/>
          </w:tcPr>
          <w:p w:rsidR="711688CB" w:rsidP="711688CB" w:rsidRDefault="711688CB" w14:paraId="27592C13" w14:textId="2C5E4003">
            <w:pPr>
              <w:pStyle w:val="Normal"/>
              <w:suppressLineNumbers w:val="0"/>
              <w:bidi w:val="0"/>
              <w:spacing w:before="0" w:beforeAutospacing="off" w:after="0" w:afterAutospacing="off" w:line="240" w:lineRule="auto"/>
              <w:ind w:left="0" w:right="0"/>
              <w:jc w:val="both"/>
              <w:rPr>
                <w:rFonts w:ascii="Aptos" w:hAnsi="Aptos" w:eastAsia="Aptos" w:cs="Aptos"/>
                <w:b w:val="0"/>
                <w:bCs w:val="0"/>
                <w:color w:val="000000" w:themeColor="text1" w:themeTint="FF" w:themeShade="FF"/>
                <w:sz w:val="22"/>
                <w:szCs w:val="22"/>
              </w:rPr>
            </w:pPr>
            <w:r w:rsidRPr="711688CB" w:rsidR="711688CB">
              <w:rPr>
                <w:rFonts w:ascii="Aptos" w:hAnsi="Aptos" w:eastAsia="Aptos" w:cs="Aptos"/>
                <w:b w:val="0"/>
                <w:bCs w:val="0"/>
                <w:color w:val="000000" w:themeColor="text1" w:themeTint="FF" w:themeShade="FF"/>
                <w:sz w:val="22"/>
                <w:szCs w:val="22"/>
              </w:rPr>
              <w:t>Concepto</w:t>
            </w:r>
          </w:p>
        </w:tc>
        <w:tc>
          <w:tcPr>
            <w:tcW w:w="1485" w:type="dxa"/>
            <w:tcBorders>
              <w:top w:val="single" w:sz="8"/>
              <w:left w:val="single" w:sz="8"/>
              <w:bottom w:val="single" w:sz="8"/>
              <w:right w:val="single" w:sz="8"/>
            </w:tcBorders>
            <w:tcMar>
              <w:left w:w="70" w:type="dxa"/>
              <w:right w:w="70" w:type="dxa"/>
            </w:tcMar>
            <w:vAlign w:val="center"/>
          </w:tcPr>
          <w:p w:rsidR="711688CB" w:rsidP="711688CB" w:rsidRDefault="711688CB" w14:paraId="51A30016" w14:textId="3E5652F1">
            <w:pPr>
              <w:pStyle w:val="Normal"/>
              <w:suppressLineNumbers w:val="0"/>
              <w:bidi w:val="0"/>
              <w:spacing w:before="0" w:beforeAutospacing="off" w:after="0" w:afterAutospacing="off" w:line="240" w:lineRule="auto"/>
              <w:ind w:left="0" w:right="0"/>
              <w:jc w:val="both"/>
              <w:rPr>
                <w:rFonts w:ascii="Aptos" w:hAnsi="Aptos" w:eastAsia="Aptos" w:cs="Aptos"/>
                <w:b w:val="0"/>
                <w:bCs w:val="0"/>
                <w:color w:val="000000" w:themeColor="text1" w:themeTint="FF" w:themeShade="FF"/>
                <w:sz w:val="22"/>
                <w:szCs w:val="22"/>
              </w:rPr>
            </w:pPr>
            <w:r w:rsidRPr="711688CB" w:rsidR="711688CB">
              <w:rPr>
                <w:rFonts w:ascii="Aptos" w:hAnsi="Aptos" w:eastAsia="Aptos" w:cs="Aptos"/>
                <w:b w:val="0"/>
                <w:bCs w:val="0"/>
                <w:color w:val="000000" w:themeColor="text1" w:themeTint="FF" w:themeShade="FF"/>
                <w:sz w:val="22"/>
                <w:szCs w:val="22"/>
              </w:rPr>
              <w:t>Programado</w:t>
            </w:r>
          </w:p>
        </w:tc>
        <w:tc>
          <w:tcPr>
            <w:tcW w:w="1290" w:type="dxa"/>
            <w:tcBorders>
              <w:top w:val="single" w:sz="8"/>
              <w:left w:val="single" w:sz="8"/>
              <w:bottom w:val="single" w:sz="8"/>
              <w:right w:val="single" w:sz="8"/>
            </w:tcBorders>
            <w:tcMar>
              <w:left w:w="70" w:type="dxa"/>
              <w:right w:w="70" w:type="dxa"/>
            </w:tcMar>
            <w:vAlign w:val="center"/>
          </w:tcPr>
          <w:p w:rsidR="711688CB" w:rsidP="711688CB" w:rsidRDefault="711688CB" w14:paraId="1C43CE48" w14:textId="63E698BA">
            <w:pPr>
              <w:pStyle w:val="Normal"/>
              <w:suppressLineNumbers w:val="0"/>
              <w:bidi w:val="0"/>
              <w:spacing w:before="0" w:beforeAutospacing="off" w:after="0" w:afterAutospacing="off" w:line="240" w:lineRule="auto"/>
              <w:ind w:left="0" w:right="0"/>
              <w:jc w:val="both"/>
              <w:rPr>
                <w:rFonts w:ascii="Aptos" w:hAnsi="Aptos" w:eastAsia="Aptos" w:cs="Aptos"/>
                <w:b w:val="0"/>
                <w:bCs w:val="0"/>
                <w:color w:val="000000" w:themeColor="text1" w:themeTint="FF" w:themeShade="FF"/>
                <w:sz w:val="22"/>
                <w:szCs w:val="22"/>
              </w:rPr>
            </w:pPr>
            <w:r w:rsidRPr="711688CB" w:rsidR="711688CB">
              <w:rPr>
                <w:rFonts w:ascii="Aptos" w:hAnsi="Aptos" w:eastAsia="Aptos" w:cs="Aptos"/>
                <w:b w:val="0"/>
                <w:bCs w:val="0"/>
                <w:color w:val="000000" w:themeColor="text1" w:themeTint="FF" w:themeShade="FF"/>
                <w:sz w:val="22"/>
                <w:szCs w:val="22"/>
              </w:rPr>
              <w:t>Reportado</w:t>
            </w:r>
          </w:p>
        </w:tc>
        <w:tc>
          <w:tcPr>
            <w:tcW w:w="1275" w:type="dxa"/>
            <w:tcBorders>
              <w:top w:val="single" w:sz="8"/>
              <w:left w:val="single" w:sz="8"/>
              <w:bottom w:val="single" w:sz="8"/>
              <w:right w:val="single" w:sz="8"/>
            </w:tcBorders>
            <w:tcMar>
              <w:left w:w="70" w:type="dxa"/>
              <w:right w:w="70" w:type="dxa"/>
            </w:tcMar>
            <w:vAlign w:val="center"/>
          </w:tcPr>
          <w:p w:rsidR="711688CB" w:rsidP="711688CB" w:rsidRDefault="711688CB" w14:paraId="44DA53E7" w14:textId="2366B8AB">
            <w:pPr>
              <w:pStyle w:val="Normal"/>
              <w:suppressLineNumbers w:val="0"/>
              <w:bidi w:val="0"/>
              <w:spacing w:before="0" w:beforeAutospacing="off" w:after="0" w:afterAutospacing="off" w:line="240" w:lineRule="auto"/>
              <w:ind w:left="0" w:right="0"/>
              <w:jc w:val="both"/>
              <w:rPr>
                <w:rFonts w:ascii="Aptos" w:hAnsi="Aptos" w:eastAsia="Aptos" w:cs="Aptos"/>
                <w:b w:val="0"/>
                <w:bCs w:val="0"/>
                <w:color w:val="000000" w:themeColor="text1" w:themeTint="FF" w:themeShade="FF"/>
                <w:sz w:val="22"/>
                <w:szCs w:val="22"/>
              </w:rPr>
            </w:pPr>
            <w:r w:rsidRPr="711688CB" w:rsidR="711688CB">
              <w:rPr>
                <w:rFonts w:ascii="Aptos" w:hAnsi="Aptos" w:eastAsia="Aptos" w:cs="Aptos"/>
                <w:b w:val="0"/>
                <w:bCs w:val="0"/>
                <w:color w:val="000000" w:themeColor="text1" w:themeTint="FF" w:themeShade="FF"/>
                <w:sz w:val="22"/>
                <w:szCs w:val="22"/>
              </w:rPr>
              <w:t>Diferencia</w:t>
            </w:r>
          </w:p>
        </w:tc>
      </w:tr>
      <w:tr w:rsidR="711688CB" w:rsidTr="711688CB" w14:paraId="1AD425E6">
        <w:trPr>
          <w:trHeight w:val="405"/>
        </w:trPr>
        <w:tc>
          <w:tcPr>
            <w:tcW w:w="3765" w:type="dxa"/>
            <w:tcBorders>
              <w:top w:val="single" w:sz="8"/>
              <w:left w:val="single" w:sz="8"/>
              <w:bottom w:val="single" w:sz="8"/>
              <w:right w:val="single" w:sz="8"/>
            </w:tcBorders>
            <w:tcMar>
              <w:left w:w="70" w:type="dxa"/>
              <w:right w:w="70" w:type="dxa"/>
            </w:tcMar>
            <w:vAlign w:val="center"/>
          </w:tcPr>
          <w:p w:rsidR="711688CB" w:rsidP="711688CB" w:rsidRDefault="711688CB" w14:paraId="298BDFDA" w14:textId="4EB4214E">
            <w:pPr>
              <w:pStyle w:val="Normal"/>
              <w:suppressLineNumbers w:val="0"/>
              <w:bidi w:val="0"/>
              <w:spacing w:before="0" w:beforeAutospacing="off" w:after="0" w:afterAutospacing="off" w:line="240" w:lineRule="auto"/>
              <w:ind w:left="0" w:right="0"/>
              <w:jc w:val="both"/>
              <w:rPr>
                <w:rFonts w:ascii="Aptos" w:hAnsi="Aptos" w:eastAsia="Aptos" w:cs="Aptos"/>
                <w:b w:val="0"/>
                <w:bCs w:val="0"/>
                <w:color w:val="000000" w:themeColor="text1" w:themeTint="FF" w:themeShade="FF"/>
                <w:sz w:val="22"/>
                <w:szCs w:val="22"/>
              </w:rPr>
            </w:pPr>
            <w:r w:rsidRPr="711688CB" w:rsidR="711688CB">
              <w:rPr>
                <w:rFonts w:ascii="Aptos" w:hAnsi="Aptos" w:eastAsia="Aptos" w:cs="Aptos"/>
                <w:b w:val="0"/>
                <w:bCs w:val="0"/>
                <w:color w:val="000000" w:themeColor="text1" w:themeTint="FF" w:themeShade="FF"/>
                <w:sz w:val="22"/>
                <w:szCs w:val="22"/>
              </w:rPr>
              <w:t>Usuarios beneficiados acumulados a junio de 2026</w:t>
            </w:r>
          </w:p>
        </w:tc>
        <w:tc>
          <w:tcPr>
            <w:tcW w:w="1485" w:type="dxa"/>
            <w:tcBorders>
              <w:top w:val="single" w:sz="8"/>
              <w:left w:val="single" w:sz="8"/>
              <w:bottom w:val="single" w:sz="8"/>
              <w:right w:val="single" w:sz="8"/>
            </w:tcBorders>
            <w:tcMar>
              <w:left w:w="70" w:type="dxa"/>
              <w:right w:w="70" w:type="dxa"/>
            </w:tcMar>
            <w:vAlign w:val="center"/>
          </w:tcPr>
          <w:p w:rsidR="711688CB" w:rsidP="711688CB" w:rsidRDefault="711688CB" w14:paraId="20283024" w14:textId="2C85A693">
            <w:pPr>
              <w:pStyle w:val="Normal"/>
              <w:suppressLineNumbers w:val="0"/>
              <w:bidi w:val="0"/>
              <w:spacing w:before="0" w:beforeAutospacing="off" w:after="0" w:afterAutospacing="off" w:line="240" w:lineRule="auto"/>
              <w:ind w:left="0" w:right="0"/>
              <w:jc w:val="both"/>
              <w:rPr>
                <w:rFonts w:ascii="Aptos" w:hAnsi="Aptos" w:eastAsia="Aptos" w:cs="Aptos"/>
                <w:b w:val="0"/>
                <w:bCs w:val="0"/>
                <w:color w:val="000000" w:themeColor="text1" w:themeTint="FF" w:themeShade="FF"/>
                <w:sz w:val="22"/>
                <w:szCs w:val="22"/>
              </w:rPr>
            </w:pPr>
            <w:r w:rsidRPr="711688CB" w:rsidR="711688CB">
              <w:rPr>
                <w:rFonts w:ascii="Aptos" w:hAnsi="Aptos" w:eastAsia="Aptos" w:cs="Aptos"/>
                <w:b w:val="0"/>
                <w:bCs w:val="0"/>
                <w:color w:val="000000" w:themeColor="text1" w:themeTint="FF" w:themeShade="FF"/>
                <w:sz w:val="22"/>
                <w:szCs w:val="22"/>
              </w:rPr>
              <w:t>683</w:t>
            </w:r>
          </w:p>
        </w:tc>
        <w:tc>
          <w:tcPr>
            <w:tcW w:w="1290" w:type="dxa"/>
            <w:tcBorders>
              <w:top w:val="single" w:sz="8"/>
              <w:left w:val="single" w:sz="8"/>
              <w:bottom w:val="single" w:sz="8"/>
              <w:right w:val="single" w:sz="8"/>
            </w:tcBorders>
            <w:tcMar>
              <w:left w:w="70" w:type="dxa"/>
              <w:right w:w="70" w:type="dxa"/>
            </w:tcMar>
            <w:vAlign w:val="center"/>
          </w:tcPr>
          <w:p w:rsidR="711688CB" w:rsidP="711688CB" w:rsidRDefault="711688CB" w14:paraId="5565DBB8" w14:textId="48F4790C">
            <w:pPr>
              <w:pStyle w:val="Normal"/>
              <w:suppressLineNumbers w:val="0"/>
              <w:bidi w:val="0"/>
              <w:spacing w:before="0" w:beforeAutospacing="off" w:after="0" w:afterAutospacing="off" w:line="240" w:lineRule="auto"/>
              <w:ind w:left="0" w:right="0"/>
              <w:jc w:val="both"/>
              <w:rPr>
                <w:rFonts w:ascii="Aptos" w:hAnsi="Aptos" w:eastAsia="Aptos" w:cs="Aptos"/>
                <w:b w:val="0"/>
                <w:bCs w:val="0"/>
                <w:color w:val="000000" w:themeColor="text1" w:themeTint="FF" w:themeShade="FF"/>
                <w:sz w:val="22"/>
                <w:szCs w:val="22"/>
              </w:rPr>
            </w:pPr>
            <w:r w:rsidRPr="711688CB" w:rsidR="711688CB">
              <w:rPr>
                <w:rFonts w:ascii="Aptos" w:hAnsi="Aptos" w:eastAsia="Aptos" w:cs="Aptos"/>
                <w:b w:val="0"/>
                <w:bCs w:val="0"/>
                <w:color w:val="000000" w:themeColor="text1" w:themeTint="FF" w:themeShade="FF"/>
                <w:sz w:val="22"/>
                <w:szCs w:val="22"/>
              </w:rPr>
              <w:t>0</w:t>
            </w:r>
          </w:p>
        </w:tc>
        <w:tc>
          <w:tcPr>
            <w:tcW w:w="1275" w:type="dxa"/>
            <w:tcBorders>
              <w:top w:val="single" w:sz="8"/>
              <w:left w:val="single" w:sz="8"/>
              <w:bottom w:val="single" w:sz="8"/>
              <w:right w:val="single" w:sz="8"/>
            </w:tcBorders>
            <w:tcMar>
              <w:left w:w="70" w:type="dxa"/>
              <w:right w:w="70" w:type="dxa"/>
            </w:tcMar>
            <w:vAlign w:val="center"/>
          </w:tcPr>
          <w:p w:rsidR="711688CB" w:rsidP="711688CB" w:rsidRDefault="711688CB" w14:paraId="26F3CB6D" w14:textId="7ABD7502">
            <w:pPr>
              <w:pStyle w:val="Normal"/>
              <w:suppressLineNumbers w:val="0"/>
              <w:bidi w:val="0"/>
              <w:spacing w:before="0" w:beforeAutospacing="off" w:after="0" w:afterAutospacing="off" w:line="240" w:lineRule="auto"/>
              <w:ind w:left="0" w:right="0"/>
              <w:jc w:val="both"/>
              <w:rPr>
                <w:rFonts w:ascii="Aptos" w:hAnsi="Aptos" w:eastAsia="Aptos" w:cs="Aptos"/>
                <w:b w:val="0"/>
                <w:bCs w:val="0"/>
                <w:color w:val="000000" w:themeColor="text1" w:themeTint="FF" w:themeShade="FF"/>
                <w:sz w:val="22"/>
                <w:szCs w:val="22"/>
              </w:rPr>
            </w:pPr>
            <w:r w:rsidRPr="711688CB" w:rsidR="711688CB">
              <w:rPr>
                <w:rFonts w:ascii="Aptos" w:hAnsi="Aptos" w:eastAsia="Aptos" w:cs="Aptos"/>
                <w:b w:val="0"/>
                <w:bCs w:val="0"/>
                <w:color w:val="000000" w:themeColor="text1" w:themeTint="FF" w:themeShade="FF"/>
                <w:sz w:val="22"/>
                <w:szCs w:val="22"/>
              </w:rPr>
              <w:t>-683</w:t>
            </w:r>
          </w:p>
        </w:tc>
      </w:tr>
      <w:tr w:rsidR="711688CB" w:rsidTr="711688CB" w14:paraId="7971991B">
        <w:trPr>
          <w:trHeight w:val="60"/>
        </w:trPr>
        <w:tc>
          <w:tcPr>
            <w:tcW w:w="3765" w:type="dxa"/>
            <w:tcBorders>
              <w:top w:val="single" w:sz="8"/>
              <w:left w:val="single" w:sz="8"/>
              <w:bottom w:val="single" w:sz="8"/>
              <w:right w:val="single" w:sz="8"/>
            </w:tcBorders>
            <w:tcMar>
              <w:left w:w="70" w:type="dxa"/>
              <w:right w:w="70" w:type="dxa"/>
            </w:tcMar>
            <w:vAlign w:val="center"/>
          </w:tcPr>
          <w:p w:rsidR="711688CB" w:rsidP="711688CB" w:rsidRDefault="711688CB" w14:paraId="5089819D" w14:textId="61DE6C81">
            <w:pPr>
              <w:pStyle w:val="Normal"/>
              <w:suppressLineNumbers w:val="0"/>
              <w:bidi w:val="0"/>
              <w:spacing w:before="0" w:beforeAutospacing="off" w:after="0" w:afterAutospacing="off" w:line="240" w:lineRule="auto"/>
              <w:ind w:left="0" w:right="0"/>
              <w:jc w:val="both"/>
              <w:rPr>
                <w:rFonts w:ascii="Aptos" w:hAnsi="Aptos" w:eastAsia="Aptos" w:cs="Aptos"/>
                <w:b w:val="0"/>
                <w:bCs w:val="0"/>
                <w:color w:val="000000" w:themeColor="text1" w:themeTint="FF" w:themeShade="FF"/>
                <w:sz w:val="22"/>
                <w:szCs w:val="22"/>
              </w:rPr>
            </w:pPr>
            <w:r w:rsidRPr="711688CB" w:rsidR="711688CB">
              <w:rPr>
                <w:rFonts w:ascii="Aptos" w:hAnsi="Aptos" w:eastAsia="Aptos" w:cs="Aptos"/>
                <w:b w:val="0"/>
                <w:bCs w:val="0"/>
                <w:color w:val="000000" w:themeColor="text1" w:themeTint="FF" w:themeShade="FF"/>
                <w:sz w:val="22"/>
                <w:szCs w:val="22"/>
              </w:rPr>
              <w:t>Cumplimiento de la meta acumulada</w:t>
            </w:r>
          </w:p>
        </w:tc>
        <w:tc>
          <w:tcPr>
            <w:tcW w:w="1485" w:type="dxa"/>
            <w:tcBorders>
              <w:top w:val="single" w:sz="8"/>
              <w:left w:val="single" w:sz="8"/>
              <w:bottom w:val="single" w:sz="8"/>
              <w:right w:val="single" w:sz="8"/>
            </w:tcBorders>
            <w:tcMar>
              <w:left w:w="70" w:type="dxa"/>
              <w:right w:w="70" w:type="dxa"/>
            </w:tcMar>
            <w:vAlign w:val="center"/>
          </w:tcPr>
          <w:p w:rsidR="711688CB" w:rsidP="711688CB" w:rsidRDefault="711688CB" w14:paraId="67D0B21C" w14:textId="7751F485">
            <w:pPr>
              <w:pStyle w:val="Normal"/>
              <w:suppressLineNumbers w:val="0"/>
              <w:bidi w:val="0"/>
              <w:spacing w:before="0" w:beforeAutospacing="off" w:after="0" w:afterAutospacing="off" w:line="240" w:lineRule="auto"/>
              <w:ind w:left="0" w:right="0"/>
              <w:jc w:val="both"/>
              <w:rPr>
                <w:rFonts w:ascii="Aptos" w:hAnsi="Aptos" w:eastAsia="Aptos" w:cs="Aptos"/>
                <w:b w:val="0"/>
                <w:bCs w:val="0"/>
                <w:color w:val="000000" w:themeColor="text1" w:themeTint="FF" w:themeShade="FF"/>
                <w:sz w:val="22"/>
                <w:szCs w:val="22"/>
              </w:rPr>
            </w:pPr>
            <w:r w:rsidRPr="711688CB" w:rsidR="711688CB">
              <w:rPr>
                <w:rFonts w:ascii="Aptos" w:hAnsi="Aptos" w:eastAsia="Aptos" w:cs="Aptos"/>
                <w:b w:val="0"/>
                <w:bCs w:val="0"/>
                <w:color w:val="000000" w:themeColor="text1" w:themeTint="FF" w:themeShade="FF"/>
                <w:sz w:val="22"/>
                <w:szCs w:val="22"/>
              </w:rPr>
              <w:t>100%</w:t>
            </w:r>
          </w:p>
        </w:tc>
        <w:tc>
          <w:tcPr>
            <w:tcW w:w="1290" w:type="dxa"/>
            <w:tcBorders>
              <w:top w:val="single" w:sz="8"/>
              <w:left w:val="single" w:sz="8"/>
              <w:bottom w:val="single" w:sz="8"/>
              <w:right w:val="single" w:sz="8"/>
            </w:tcBorders>
            <w:tcMar>
              <w:left w:w="70" w:type="dxa"/>
              <w:right w:w="70" w:type="dxa"/>
            </w:tcMar>
            <w:vAlign w:val="center"/>
          </w:tcPr>
          <w:p w:rsidR="711688CB" w:rsidP="711688CB" w:rsidRDefault="711688CB" w14:paraId="6156358F" w14:textId="012190FB">
            <w:pPr>
              <w:pStyle w:val="Normal"/>
              <w:suppressLineNumbers w:val="0"/>
              <w:bidi w:val="0"/>
              <w:spacing w:before="0" w:beforeAutospacing="off" w:after="0" w:afterAutospacing="off" w:line="240" w:lineRule="auto"/>
              <w:ind w:left="0" w:right="0"/>
              <w:jc w:val="both"/>
              <w:rPr>
                <w:rFonts w:ascii="Aptos" w:hAnsi="Aptos" w:eastAsia="Aptos" w:cs="Aptos"/>
                <w:b w:val="0"/>
                <w:bCs w:val="0"/>
                <w:color w:val="000000" w:themeColor="text1" w:themeTint="FF" w:themeShade="FF"/>
                <w:sz w:val="22"/>
                <w:szCs w:val="22"/>
              </w:rPr>
            </w:pPr>
            <w:r w:rsidRPr="711688CB" w:rsidR="711688CB">
              <w:rPr>
                <w:rFonts w:ascii="Aptos" w:hAnsi="Aptos" w:eastAsia="Aptos" w:cs="Aptos"/>
                <w:b w:val="0"/>
                <w:bCs w:val="0"/>
                <w:color w:val="000000" w:themeColor="text1" w:themeTint="FF" w:themeShade="FF"/>
                <w:sz w:val="22"/>
                <w:szCs w:val="22"/>
              </w:rPr>
              <w:t>0%</w:t>
            </w:r>
          </w:p>
        </w:tc>
        <w:tc>
          <w:tcPr>
            <w:tcW w:w="1275" w:type="dxa"/>
            <w:tcBorders>
              <w:top w:val="single" w:sz="8"/>
              <w:left w:val="single" w:sz="8"/>
              <w:bottom w:val="single" w:sz="8"/>
              <w:right w:val="single" w:sz="8"/>
            </w:tcBorders>
            <w:tcMar>
              <w:left w:w="70" w:type="dxa"/>
              <w:right w:w="70" w:type="dxa"/>
            </w:tcMar>
            <w:vAlign w:val="center"/>
          </w:tcPr>
          <w:p w:rsidR="711688CB" w:rsidP="711688CB" w:rsidRDefault="711688CB" w14:paraId="1B50394A" w14:textId="591EE598">
            <w:pPr>
              <w:pStyle w:val="Normal"/>
              <w:suppressLineNumbers w:val="0"/>
              <w:bidi w:val="0"/>
              <w:spacing w:before="0" w:beforeAutospacing="off" w:after="0" w:afterAutospacing="off" w:line="240" w:lineRule="auto"/>
              <w:ind w:left="0" w:right="0"/>
              <w:jc w:val="both"/>
              <w:rPr>
                <w:rFonts w:ascii="Aptos" w:hAnsi="Aptos" w:eastAsia="Aptos" w:cs="Aptos"/>
                <w:b w:val="0"/>
                <w:bCs w:val="0"/>
                <w:color w:val="000000" w:themeColor="text1" w:themeTint="FF" w:themeShade="FF"/>
                <w:sz w:val="22"/>
                <w:szCs w:val="22"/>
              </w:rPr>
            </w:pPr>
            <w:r w:rsidRPr="711688CB" w:rsidR="711688CB">
              <w:rPr>
                <w:rFonts w:ascii="Aptos" w:hAnsi="Aptos" w:eastAsia="Aptos" w:cs="Aptos"/>
                <w:b w:val="0"/>
                <w:bCs w:val="0"/>
                <w:color w:val="000000" w:themeColor="text1" w:themeTint="FF" w:themeShade="FF"/>
                <w:sz w:val="22"/>
                <w:szCs w:val="22"/>
              </w:rPr>
              <w:t>-100%</w:t>
            </w:r>
          </w:p>
        </w:tc>
      </w:tr>
    </w:tbl>
    <w:p w:rsidR="6F779C37" w:rsidP="711688CB" w:rsidRDefault="6F779C37" w14:paraId="420A9A27" w14:textId="7525FF0D">
      <w:pPr>
        <w:bidi w:val="0"/>
        <w:spacing w:after="160" w:afterAutospacing="off" w:line="276" w:lineRule="auto"/>
        <w:jc w:val="both"/>
      </w:pPr>
      <w:r w:rsidRPr="711688CB" w:rsidR="6F779C37">
        <w:rPr>
          <w:rFonts w:ascii="Aptos" w:hAnsi="Aptos" w:eastAsia="Aptos" w:cs="Aptos"/>
          <w:noProof w:val="0"/>
          <w:sz w:val="24"/>
          <w:szCs w:val="24"/>
          <w:lang w:val="es-ES"/>
        </w:rPr>
        <w:t xml:space="preserve"> </w:t>
      </w:r>
    </w:p>
    <w:p w:rsidR="6F779C37" w:rsidP="711688CB" w:rsidRDefault="6F779C37" w14:paraId="6F8E6641" w14:textId="32543DC6">
      <w:pPr>
        <w:bidi w:val="0"/>
        <w:spacing w:after="16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r w:rsidRPr="711688CB" w:rsidR="6F779C37">
        <w:rPr>
          <w:rFonts w:ascii="Arial" w:hAnsi="Arial" w:eastAsia="Arial" w:cs="Arial" w:asciiTheme="minorAscii" w:hAnsiTheme="minorAscii" w:eastAsiaTheme="minorAscii" w:cstheme="minorBidi"/>
          <w:noProof w:val="0"/>
          <w:color w:val="auto"/>
          <w:sz w:val="22"/>
          <w:szCs w:val="22"/>
          <w:lang w:val="es-ES" w:eastAsia="en-US" w:bidi="ar-SA"/>
        </w:rPr>
        <w:t>De la información anteriormente expuesta se evidencia que, aunque GECELCA reporta avances parciales en diferentes actividades constructivas, ninguna solución ha culminado el proceso integral requerido para su entrada en operación, toda vez que no se registran viviendas con legalización ante el Operador de Red. En consecuencia, no existe soporte técnico ni contractual que permita acreditar el cumplimiento de la meta acumulada de 683 usuarios beneficiados prevista para el cierre del mes de junio de 2026, configurándose un retraso material frente a la programación aprobada.</w:t>
      </w:r>
    </w:p>
    <w:p w:rsidR="6F779C37" w:rsidP="711688CB" w:rsidRDefault="6F779C37" w14:paraId="23B79434" w14:textId="1F59DD41">
      <w:pPr>
        <w:bidi w:val="0"/>
        <w:spacing w:after="16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r w:rsidRPr="711688CB" w:rsidR="6F779C37">
        <w:rPr>
          <w:rFonts w:ascii="Arial" w:hAnsi="Arial" w:eastAsia="Arial" w:cs="Arial" w:asciiTheme="minorAscii" w:hAnsiTheme="minorAscii" w:eastAsiaTheme="minorAscii" w:cstheme="minorBidi"/>
          <w:noProof w:val="0"/>
          <w:color w:val="auto"/>
          <w:sz w:val="22"/>
          <w:szCs w:val="22"/>
          <w:lang w:val="es-ES" w:eastAsia="en-US" w:bidi="ar-SA"/>
        </w:rPr>
        <w:t>Este escenario refleja una desviación significativa entre la ejecución comprometida y la ejecución efectivamente acreditada, circunstancia que compromete el cumplimiento de las obligaciones asumidas en el Contrato Interadministrativo y genera un riesgo cierto para el logro de las metas establecidas para la vigencia 2026.</w:t>
      </w:r>
    </w:p>
    <w:p w:rsidR="7CC17D13" w:rsidP="711688CB" w:rsidRDefault="7CC17D13" w14:paraId="12C9AD16" w14:textId="641B1DFF">
      <w:pPr>
        <w:spacing w:before="0" w:beforeAutospacing="off" w:after="160" w:afterAutospacing="off" w:line="257" w:lineRule="auto"/>
        <w:jc w:val="both"/>
        <w:rPr>
          <w:rFonts w:ascii="Arial" w:hAnsi="Arial" w:eastAsia="Arial" w:cs="Arial"/>
          <w:noProof w:val="0"/>
          <w:sz w:val="22"/>
          <w:szCs w:val="22"/>
          <w:lang w:val="es-ES"/>
        </w:rPr>
      </w:pPr>
      <w:r w:rsidRPr="711688CB" w:rsidR="7CC17D13">
        <w:rPr>
          <w:rFonts w:ascii="Arial" w:hAnsi="Arial" w:eastAsia="Arial" w:cs="Arial"/>
          <w:noProof w:val="0"/>
          <w:sz w:val="22"/>
          <w:szCs w:val="22"/>
          <w:lang w:val="es-ES"/>
        </w:rPr>
        <w:t xml:space="preserve">En ese sentido, y en atención a las obligaciones contractuales derivadas del Contrato Interadministrativo GGC-2144-2025, suscrito entre el Ministerio de Minas y Energía y GECELCA S.A. E.S.P., el Contrato OGE-17548 y los documentos modificatorios u otrosíes aplicables, se solicita remitir </w:t>
      </w:r>
      <w:r w:rsidRPr="711688CB" w:rsidR="31EE97FF">
        <w:rPr>
          <w:rFonts w:ascii="Arial" w:hAnsi="Arial" w:eastAsia="Arial" w:cs="Arial"/>
          <w:noProof w:val="0"/>
          <w:sz w:val="22"/>
          <w:szCs w:val="22"/>
          <w:lang w:val="es-ES"/>
        </w:rPr>
        <w:t xml:space="preserve">la información descrita a continuación. </w:t>
      </w:r>
    </w:p>
    <w:p w:rsidR="711688CB" w:rsidP="711688CB" w:rsidRDefault="711688CB" w14:paraId="21A229B6" w14:textId="4394AEFE">
      <w:pPr>
        <w:bidi w:val="0"/>
        <w:spacing w:after="16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p>
    <w:p w:rsidR="23C918D7" w:rsidP="711688CB" w:rsidRDefault="23C918D7" w14:paraId="16DEF642" w14:textId="5D0D8EB7">
      <w:pPr>
        <w:spacing w:after="160" w:afterAutospacing="off" w:line="276" w:lineRule="auto"/>
        <w:jc w:val="both"/>
        <w:rPr>
          <w:rFonts w:ascii="Arial" w:hAnsi="Arial" w:eastAsia="Arial" w:cs="Arial"/>
          <w:b w:val="1"/>
          <w:bCs w:val="1"/>
          <w:noProof w:val="0"/>
          <w:sz w:val="22"/>
          <w:szCs w:val="22"/>
          <w:lang w:val="es-ES"/>
        </w:rPr>
      </w:pPr>
      <w:r w:rsidRPr="711688CB" w:rsidR="23C918D7">
        <w:rPr>
          <w:rFonts w:ascii="Arial" w:hAnsi="Arial" w:eastAsia="Arial" w:cs="Arial" w:asciiTheme="minorAscii" w:hAnsiTheme="minorAscii" w:eastAsiaTheme="minorAscii" w:cstheme="minorBidi"/>
          <w:b w:val="1"/>
          <w:bCs w:val="1"/>
          <w:noProof w:val="0"/>
          <w:color w:val="auto"/>
          <w:sz w:val="22"/>
          <w:szCs w:val="22"/>
          <w:lang w:val="es-ES" w:eastAsia="en-US" w:bidi="ar-SA"/>
        </w:rPr>
        <w:t>3.2. Pérdida de correspondencia entre la planeación contractual y la ejecución real del Contrato Derivado</w:t>
      </w:r>
    </w:p>
    <w:p w:rsidR="23C918D7" w:rsidP="711688CB" w:rsidRDefault="23C918D7" w14:paraId="165F6989" w14:textId="6695D672">
      <w:pPr>
        <w:spacing w:after="160" w:afterAutospacing="off" w:line="240" w:lineRule="auto"/>
        <w:jc w:val="both"/>
        <w:rPr>
          <w:rFonts w:ascii="Arial" w:hAnsi="Arial" w:eastAsia="Arial" w:cs="Arial"/>
          <w:noProof w:val="0"/>
          <w:sz w:val="22"/>
          <w:szCs w:val="22"/>
          <w:lang w:val="es-ES"/>
        </w:rPr>
      </w:pPr>
      <w:r w:rsidRPr="711688CB" w:rsidR="23C918D7">
        <w:rPr>
          <w:rFonts w:ascii="Arial" w:hAnsi="Arial" w:eastAsia="Arial" w:cs="Arial" w:asciiTheme="minorAscii" w:hAnsiTheme="minorAscii" w:eastAsiaTheme="minorAscii" w:cstheme="minorBidi"/>
          <w:noProof w:val="0"/>
          <w:color w:val="auto"/>
          <w:sz w:val="22"/>
          <w:szCs w:val="22"/>
          <w:lang w:val="es-ES" w:eastAsia="en-US" w:bidi="ar-SA"/>
        </w:rPr>
        <w:t>De la revisión del Plan de Ejecución aprobado por el Ministerio, del Cronograma Maestro del Contrato Derivado remitido por GECELCA y de los informes de avance presentados durante la ejecución, se evidencia que actualmente no existe correspondencia entre la programación contractual y el desarrollo efectivo de las actividades, circunstancia que limita la trazabilidad de la ejecución y dificulta el ejercicio del seguimiento por parte de la Supervisión.</w:t>
      </w:r>
    </w:p>
    <w:p w:rsidR="23C918D7" w:rsidP="711688CB" w:rsidRDefault="23C918D7" w14:paraId="46831B48" w14:textId="67F4AA23">
      <w:pPr>
        <w:spacing w:after="160" w:afterAutospacing="off" w:line="240" w:lineRule="auto"/>
        <w:jc w:val="both"/>
        <w:rPr>
          <w:rFonts w:ascii="Arial" w:hAnsi="Arial" w:eastAsia="Arial" w:cs="Arial"/>
          <w:noProof w:val="0"/>
          <w:sz w:val="22"/>
          <w:szCs w:val="22"/>
          <w:lang w:val="es-ES"/>
        </w:rPr>
      </w:pPr>
      <w:r w:rsidRPr="711688CB" w:rsidR="23C918D7">
        <w:rPr>
          <w:rFonts w:ascii="Arial" w:hAnsi="Arial" w:eastAsia="Arial" w:cs="Arial" w:asciiTheme="minorAscii" w:hAnsiTheme="minorAscii" w:eastAsiaTheme="minorAscii" w:cstheme="minorBidi"/>
          <w:noProof w:val="0"/>
          <w:color w:val="auto"/>
          <w:sz w:val="22"/>
          <w:szCs w:val="22"/>
          <w:lang w:val="es-ES" w:eastAsia="en-US" w:bidi="ar-SA"/>
        </w:rPr>
        <w:t>Debe resaltarse que el Cronograma Maestro constituye el principal instrumento de gestión del Contrato Derivado, toda vez que define la secuencia lógica de las actividades, los hitos contractuales, la ruta crítica, las dependencias entre tareas, la asignación de recursos y las metas parciales que soportan el cumplimiento de los resultados previstos en el Plan de Ejecución. En consecuencia, dicho documento debe reflejar de manera permanente el estado real de la ejecución.</w:t>
      </w:r>
    </w:p>
    <w:p w:rsidR="23C918D7" w:rsidP="711688CB" w:rsidRDefault="23C918D7" w14:paraId="5B28A831" w14:textId="18FBBFD8">
      <w:pPr>
        <w:spacing w:after="160" w:afterAutospacing="off" w:line="240" w:lineRule="auto"/>
        <w:jc w:val="both"/>
        <w:rPr>
          <w:rFonts w:ascii="Arial" w:hAnsi="Arial" w:eastAsia="Arial" w:cs="Arial"/>
          <w:noProof w:val="0"/>
          <w:sz w:val="22"/>
          <w:szCs w:val="22"/>
          <w:lang w:val="es-ES"/>
        </w:rPr>
      </w:pPr>
      <w:r w:rsidRPr="711688CB" w:rsidR="23C918D7">
        <w:rPr>
          <w:rFonts w:ascii="Arial" w:hAnsi="Arial" w:eastAsia="Arial" w:cs="Arial" w:asciiTheme="minorAscii" w:hAnsiTheme="minorAscii" w:eastAsiaTheme="minorAscii" w:cstheme="minorBidi"/>
          <w:noProof w:val="0"/>
          <w:color w:val="auto"/>
          <w:sz w:val="22"/>
          <w:szCs w:val="22"/>
          <w:lang w:val="es-ES" w:eastAsia="en-US" w:bidi="ar-SA"/>
        </w:rPr>
        <w:t>No obstante, el cronograma fue remitido al Ministerio únicamente el 29 de junio de 2026, pese a que el Contrato Derivado fue suscrito en el mes de abril de 2026 y que el numeral 5.10.1 de las Obligaciones Específicas dispone que, una vez aprobado por la Interventoría y GECELCA, debía ser presentado al Ministerio dentro de los quince (15) días calendario siguientes a su aprobación.</w:t>
      </w:r>
    </w:p>
    <w:p w:rsidR="23C918D7" w:rsidP="711688CB" w:rsidRDefault="23C918D7" w14:paraId="2EDCF3BD" w14:textId="77A001F5">
      <w:pPr>
        <w:spacing w:after="160" w:afterAutospacing="off" w:line="240" w:lineRule="auto"/>
        <w:jc w:val="both"/>
        <w:rPr>
          <w:rFonts w:ascii="Arial" w:hAnsi="Arial" w:eastAsia="Arial" w:cs="Arial"/>
          <w:noProof w:val="0"/>
          <w:sz w:val="22"/>
          <w:szCs w:val="22"/>
          <w:lang w:val="es-ES"/>
        </w:rPr>
      </w:pPr>
      <w:r w:rsidRPr="711688CB" w:rsidR="23C918D7">
        <w:rPr>
          <w:rFonts w:ascii="Arial" w:hAnsi="Arial" w:eastAsia="Arial" w:cs="Arial" w:asciiTheme="minorAscii" w:hAnsiTheme="minorAscii" w:eastAsiaTheme="minorAscii" w:cstheme="minorBidi"/>
          <w:noProof w:val="0"/>
          <w:color w:val="auto"/>
          <w:sz w:val="22"/>
          <w:szCs w:val="22"/>
          <w:lang w:val="es-ES" w:eastAsia="en-US" w:bidi="ar-SA"/>
        </w:rPr>
        <w:t>Adicionalmente, al contrastar la programación inicialmente aprobada con la ejecución reportada por GECELCA, se evidencian diferencias sustanciales que demuestran que el cronograma actualmente vigente ya no representa la realidad de la ejecución.</w:t>
      </w:r>
    </w:p>
    <w:p w:rsidR="23C918D7" w:rsidP="711688CB" w:rsidRDefault="23C918D7" w14:paraId="493763E1" w14:textId="172EAE74">
      <w:pPr>
        <w:spacing w:after="160" w:afterAutospacing="off" w:line="240" w:lineRule="auto"/>
        <w:jc w:val="both"/>
        <w:rPr>
          <w:rFonts w:ascii="Arial" w:hAnsi="Arial" w:eastAsia="Arial" w:cs="Arial"/>
          <w:noProof w:val="0"/>
          <w:sz w:val="22"/>
          <w:szCs w:val="22"/>
          <w:lang w:val="es-ES"/>
        </w:rPr>
      </w:pPr>
      <w:r w:rsidRPr="711688CB" w:rsidR="23C918D7">
        <w:rPr>
          <w:rFonts w:ascii="Arial" w:hAnsi="Arial" w:eastAsia="Arial" w:cs="Arial" w:asciiTheme="minorAscii" w:hAnsiTheme="minorAscii" w:eastAsiaTheme="minorAscii" w:cstheme="minorBidi"/>
          <w:noProof w:val="0"/>
          <w:color w:val="auto"/>
          <w:sz w:val="22"/>
          <w:szCs w:val="22"/>
          <w:lang w:val="es-ES" w:eastAsia="en-US" w:bidi="ar-SA"/>
        </w:rPr>
        <w:t>Comparativo entre la planeación y la ejecución</w:t>
      </w:r>
    </w:p>
    <w:tbl>
      <w:tblPr>
        <w:tblStyle w:val="TableNormal"/>
        <w:bidiVisual w:val="0"/>
        <w:tblW w:w="0" w:type="auto"/>
        <w:tblLook w:val="04A0" w:firstRow="1" w:lastRow="0" w:firstColumn="1" w:lastColumn="0" w:noHBand="0" w:noVBand="1"/>
      </w:tblPr>
      <w:tblGrid>
        <w:gridCol w:w="2850"/>
        <w:gridCol w:w="3000"/>
        <w:gridCol w:w="3135"/>
      </w:tblGrid>
      <w:tr w:rsidR="711688CB" w:rsidTr="711688CB" w14:paraId="16A2041B">
        <w:trPr>
          <w:trHeight w:val="75"/>
        </w:trPr>
        <w:tc>
          <w:tcPr>
            <w:tcW w:w="2850" w:type="dxa"/>
            <w:tcBorders>
              <w:top w:val="single" w:sz="8"/>
              <w:left w:val="single" w:sz="8"/>
              <w:bottom w:val="single" w:sz="8"/>
              <w:right w:val="single" w:sz="8"/>
            </w:tcBorders>
            <w:tcMar>
              <w:left w:w="70" w:type="dxa"/>
              <w:right w:w="70" w:type="dxa"/>
            </w:tcMar>
            <w:vAlign w:val="center"/>
          </w:tcPr>
          <w:p w:rsidR="711688CB" w:rsidP="711688CB" w:rsidRDefault="711688CB" w14:paraId="6D5A25D5" w14:textId="10F207CF">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Aspecto</w:t>
            </w:r>
          </w:p>
        </w:tc>
        <w:tc>
          <w:tcPr>
            <w:tcW w:w="3000" w:type="dxa"/>
            <w:tcBorders>
              <w:top w:val="single" w:sz="8"/>
              <w:left w:val="single" w:sz="8"/>
              <w:bottom w:val="single" w:sz="8"/>
              <w:right w:val="single" w:sz="8"/>
            </w:tcBorders>
            <w:tcMar>
              <w:left w:w="70" w:type="dxa"/>
              <w:right w:w="70" w:type="dxa"/>
            </w:tcMar>
            <w:vAlign w:val="center"/>
          </w:tcPr>
          <w:p w:rsidR="711688CB" w:rsidP="711688CB" w:rsidRDefault="711688CB" w14:paraId="7BF3DDE2" w14:textId="2F296671">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Planeación contractual</w:t>
            </w:r>
          </w:p>
        </w:tc>
        <w:tc>
          <w:tcPr>
            <w:tcW w:w="3135" w:type="dxa"/>
            <w:tcBorders>
              <w:top w:val="single" w:sz="8"/>
              <w:left w:val="single" w:sz="8"/>
              <w:bottom w:val="single" w:sz="8"/>
              <w:right w:val="single" w:sz="8"/>
            </w:tcBorders>
            <w:tcMar>
              <w:left w:w="70" w:type="dxa"/>
              <w:right w:w="70" w:type="dxa"/>
            </w:tcMar>
            <w:vAlign w:val="center"/>
          </w:tcPr>
          <w:p w:rsidR="711688CB" w:rsidP="711688CB" w:rsidRDefault="711688CB" w14:paraId="2B5BB5CC" w14:textId="1B23C182">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Situación evidenciada</w:t>
            </w:r>
          </w:p>
        </w:tc>
      </w:tr>
      <w:tr w:rsidR="711688CB" w:rsidTr="711688CB" w14:paraId="7E446A4F">
        <w:trPr>
          <w:trHeight w:val="240"/>
        </w:trPr>
        <w:tc>
          <w:tcPr>
            <w:tcW w:w="2850" w:type="dxa"/>
            <w:tcBorders>
              <w:top w:val="single" w:sz="8"/>
              <w:left w:val="single" w:sz="8"/>
              <w:bottom w:val="single" w:sz="8"/>
              <w:right w:val="single" w:sz="8"/>
            </w:tcBorders>
            <w:tcMar>
              <w:left w:w="70" w:type="dxa"/>
              <w:right w:w="70" w:type="dxa"/>
            </w:tcMar>
            <w:vAlign w:val="center"/>
          </w:tcPr>
          <w:p w:rsidR="711688CB" w:rsidP="711688CB" w:rsidRDefault="711688CB" w14:paraId="488BAC57" w14:textId="7C4AACE9">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Disponibilidad del cronograma para seguimiento</w:t>
            </w:r>
          </w:p>
        </w:tc>
        <w:tc>
          <w:tcPr>
            <w:tcW w:w="3000" w:type="dxa"/>
            <w:tcBorders>
              <w:top w:val="single" w:sz="8"/>
              <w:left w:val="single" w:sz="8"/>
              <w:bottom w:val="single" w:sz="8"/>
              <w:right w:val="single" w:sz="8"/>
            </w:tcBorders>
            <w:tcMar>
              <w:left w:w="70" w:type="dxa"/>
              <w:right w:w="70" w:type="dxa"/>
            </w:tcMar>
            <w:vAlign w:val="center"/>
          </w:tcPr>
          <w:p w:rsidR="711688CB" w:rsidP="711688CB" w:rsidRDefault="711688CB" w14:paraId="40C429CE" w14:textId="50FD3501">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Debía encontrarse aprobado y remitido oportunamente al Ministerio</w:t>
            </w:r>
          </w:p>
        </w:tc>
        <w:tc>
          <w:tcPr>
            <w:tcW w:w="3135" w:type="dxa"/>
            <w:tcBorders>
              <w:top w:val="single" w:sz="8"/>
              <w:left w:val="single" w:sz="8"/>
              <w:bottom w:val="single" w:sz="8"/>
              <w:right w:val="single" w:sz="8"/>
            </w:tcBorders>
            <w:tcMar>
              <w:left w:w="70" w:type="dxa"/>
              <w:right w:w="70" w:type="dxa"/>
            </w:tcMar>
            <w:vAlign w:val="center"/>
          </w:tcPr>
          <w:p w:rsidR="711688CB" w:rsidP="711688CB" w:rsidRDefault="711688CB" w14:paraId="1D486B1D" w14:textId="57DBD5C1">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Fue remitido solo el 1 de julio de 2026.</w:t>
            </w:r>
          </w:p>
        </w:tc>
      </w:tr>
      <w:tr w:rsidR="711688CB" w:rsidTr="711688CB" w14:paraId="556E9643">
        <w:trPr>
          <w:trHeight w:val="75"/>
        </w:trPr>
        <w:tc>
          <w:tcPr>
            <w:tcW w:w="2850" w:type="dxa"/>
            <w:tcBorders>
              <w:top w:val="single" w:sz="8"/>
              <w:left w:val="single" w:sz="8"/>
              <w:bottom w:val="single" w:sz="8"/>
              <w:right w:val="single" w:sz="8"/>
            </w:tcBorders>
            <w:tcMar>
              <w:left w:w="70" w:type="dxa"/>
              <w:right w:w="70" w:type="dxa"/>
            </w:tcMar>
            <w:vAlign w:val="center"/>
          </w:tcPr>
          <w:p w:rsidR="711688CB" w:rsidP="711688CB" w:rsidRDefault="711688CB" w14:paraId="17F27FB5" w14:textId="527360ED">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Ruta crítica</w:t>
            </w:r>
          </w:p>
        </w:tc>
        <w:tc>
          <w:tcPr>
            <w:tcW w:w="3000" w:type="dxa"/>
            <w:tcBorders>
              <w:top w:val="single" w:sz="8"/>
              <w:left w:val="single" w:sz="8"/>
              <w:bottom w:val="single" w:sz="8"/>
              <w:right w:val="single" w:sz="8"/>
            </w:tcBorders>
            <w:tcMar>
              <w:left w:w="70" w:type="dxa"/>
              <w:right w:w="70" w:type="dxa"/>
            </w:tcMar>
            <w:vAlign w:val="center"/>
          </w:tcPr>
          <w:p w:rsidR="711688CB" w:rsidP="711688CB" w:rsidRDefault="711688CB" w14:paraId="30DD09D0" w14:textId="7FB12B75">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Definida con actividades consecutivas sin holgura</w:t>
            </w:r>
          </w:p>
        </w:tc>
        <w:tc>
          <w:tcPr>
            <w:tcW w:w="3135" w:type="dxa"/>
            <w:tcBorders>
              <w:top w:val="single" w:sz="8"/>
              <w:left w:val="single" w:sz="8"/>
              <w:bottom w:val="single" w:sz="8"/>
              <w:right w:val="single" w:sz="8"/>
            </w:tcBorders>
            <w:tcMar>
              <w:left w:w="70" w:type="dxa"/>
              <w:right w:w="70" w:type="dxa"/>
            </w:tcMar>
            <w:vAlign w:val="center"/>
          </w:tcPr>
          <w:p w:rsidR="711688CB" w:rsidP="711688CB" w:rsidRDefault="711688CB" w14:paraId="2B53F3C5" w14:textId="1B46248D">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Presenta retrasos que impactan actividades posteriores.</w:t>
            </w:r>
          </w:p>
        </w:tc>
      </w:tr>
      <w:tr w:rsidR="711688CB" w:rsidTr="711688CB" w14:paraId="2846D2D0">
        <w:trPr>
          <w:trHeight w:val="345"/>
        </w:trPr>
        <w:tc>
          <w:tcPr>
            <w:tcW w:w="2850" w:type="dxa"/>
            <w:tcBorders>
              <w:top w:val="single" w:sz="8"/>
              <w:left w:val="single" w:sz="8"/>
              <w:bottom w:val="single" w:sz="8"/>
              <w:right w:val="single" w:sz="8"/>
            </w:tcBorders>
            <w:tcMar>
              <w:left w:w="70" w:type="dxa"/>
              <w:right w:w="70" w:type="dxa"/>
            </w:tcMar>
            <w:vAlign w:val="center"/>
          </w:tcPr>
          <w:p w:rsidR="711688CB" w:rsidP="711688CB" w:rsidRDefault="711688CB" w14:paraId="1F137702" w14:textId="3374CF94">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Hitos contractuales</w:t>
            </w:r>
          </w:p>
        </w:tc>
        <w:tc>
          <w:tcPr>
            <w:tcW w:w="3000" w:type="dxa"/>
            <w:tcBorders>
              <w:top w:val="single" w:sz="8"/>
              <w:left w:val="single" w:sz="8"/>
              <w:bottom w:val="single" w:sz="8"/>
              <w:right w:val="single" w:sz="8"/>
            </w:tcBorders>
            <w:tcMar>
              <w:left w:w="70" w:type="dxa"/>
              <w:right w:w="70" w:type="dxa"/>
            </w:tcMar>
            <w:vAlign w:val="center"/>
          </w:tcPr>
          <w:p w:rsidR="711688CB" w:rsidP="711688CB" w:rsidRDefault="711688CB" w14:paraId="2F9F7AF9" w14:textId="1643B077">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Debían cumplirse conforme a la programación aprobada</w:t>
            </w:r>
          </w:p>
        </w:tc>
        <w:tc>
          <w:tcPr>
            <w:tcW w:w="3135" w:type="dxa"/>
            <w:tcBorders>
              <w:top w:val="single" w:sz="8"/>
              <w:left w:val="single" w:sz="8"/>
              <w:bottom w:val="single" w:sz="8"/>
              <w:right w:val="single" w:sz="8"/>
            </w:tcBorders>
            <w:tcMar>
              <w:left w:w="70" w:type="dxa"/>
              <w:right w:w="70" w:type="dxa"/>
            </w:tcMar>
            <w:vAlign w:val="center"/>
          </w:tcPr>
          <w:p w:rsidR="711688CB" w:rsidP="711688CB" w:rsidRDefault="711688CB" w14:paraId="054D0417" w14:textId="0C60F88A">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Se evidencian hitos no alcanzados dentro de las fechas previstas.</w:t>
            </w:r>
          </w:p>
        </w:tc>
      </w:tr>
      <w:tr w:rsidR="711688CB" w:rsidTr="711688CB" w14:paraId="2F33A9D7">
        <w:trPr>
          <w:trHeight w:val="75"/>
        </w:trPr>
        <w:tc>
          <w:tcPr>
            <w:tcW w:w="2850" w:type="dxa"/>
            <w:tcBorders>
              <w:top w:val="single" w:sz="8"/>
              <w:left w:val="single" w:sz="8"/>
              <w:bottom w:val="single" w:sz="8"/>
              <w:right w:val="single" w:sz="8"/>
            </w:tcBorders>
            <w:tcMar>
              <w:left w:w="70" w:type="dxa"/>
              <w:right w:w="70" w:type="dxa"/>
            </w:tcMar>
            <w:vAlign w:val="center"/>
          </w:tcPr>
          <w:p w:rsidR="711688CB" w:rsidP="711688CB" w:rsidRDefault="711688CB" w14:paraId="29C1E017" w14:textId="6ED1C8D8">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Programación de actividades</w:t>
            </w:r>
          </w:p>
        </w:tc>
        <w:tc>
          <w:tcPr>
            <w:tcW w:w="3000" w:type="dxa"/>
            <w:tcBorders>
              <w:top w:val="single" w:sz="8"/>
              <w:left w:val="single" w:sz="8"/>
              <w:bottom w:val="single" w:sz="8"/>
              <w:right w:val="single" w:sz="8"/>
            </w:tcBorders>
            <w:tcMar>
              <w:left w:w="70" w:type="dxa"/>
              <w:right w:w="70" w:type="dxa"/>
            </w:tcMar>
            <w:vAlign w:val="center"/>
          </w:tcPr>
          <w:p w:rsidR="711688CB" w:rsidP="711688CB" w:rsidRDefault="711688CB" w14:paraId="3AF1BB17" w14:textId="7DE633F0">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Debía servir como instrumento de seguimiento y control</w:t>
            </w:r>
          </w:p>
        </w:tc>
        <w:tc>
          <w:tcPr>
            <w:tcW w:w="3135" w:type="dxa"/>
            <w:tcBorders>
              <w:top w:val="single" w:sz="8"/>
              <w:left w:val="single" w:sz="8"/>
              <w:bottom w:val="single" w:sz="8"/>
              <w:right w:val="single" w:sz="8"/>
            </w:tcBorders>
            <w:tcMar>
              <w:left w:w="70" w:type="dxa"/>
              <w:right w:w="70" w:type="dxa"/>
            </w:tcMar>
            <w:vAlign w:val="center"/>
          </w:tcPr>
          <w:p w:rsidR="711688CB" w:rsidP="711688CB" w:rsidRDefault="711688CB" w14:paraId="356D49F8" w14:textId="289F8FCC">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La ejecución reportada no corresponde con la programación inicialmente aprobada.</w:t>
            </w:r>
          </w:p>
        </w:tc>
      </w:tr>
      <w:tr w:rsidR="711688CB" w:rsidTr="711688CB" w14:paraId="14BE7F51">
        <w:trPr>
          <w:trHeight w:val="225"/>
        </w:trPr>
        <w:tc>
          <w:tcPr>
            <w:tcW w:w="2850" w:type="dxa"/>
            <w:tcBorders>
              <w:top w:val="single" w:sz="8"/>
              <w:left w:val="single" w:sz="8"/>
              <w:bottom w:val="single" w:sz="8"/>
              <w:right w:val="single" w:sz="8"/>
            </w:tcBorders>
            <w:tcMar>
              <w:left w:w="70" w:type="dxa"/>
              <w:right w:w="70" w:type="dxa"/>
            </w:tcMar>
            <w:vAlign w:val="center"/>
          </w:tcPr>
          <w:p w:rsidR="711688CB" w:rsidP="711688CB" w:rsidRDefault="711688CB" w14:paraId="2D8A0DBB" w14:textId="68250132">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Actualización del cronograma</w:t>
            </w:r>
          </w:p>
        </w:tc>
        <w:tc>
          <w:tcPr>
            <w:tcW w:w="3000" w:type="dxa"/>
            <w:tcBorders>
              <w:top w:val="single" w:sz="8"/>
              <w:left w:val="single" w:sz="8"/>
              <w:bottom w:val="single" w:sz="8"/>
              <w:right w:val="single" w:sz="8"/>
            </w:tcBorders>
            <w:tcMar>
              <w:left w:w="70" w:type="dxa"/>
              <w:right w:w="70" w:type="dxa"/>
            </w:tcMar>
            <w:vAlign w:val="center"/>
          </w:tcPr>
          <w:p w:rsidR="711688CB" w:rsidP="711688CB" w:rsidRDefault="711688CB" w14:paraId="736F6683" w14:textId="7FAAFF6C">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Debía reflejar el estado real de la ejecución</w:t>
            </w:r>
          </w:p>
        </w:tc>
        <w:tc>
          <w:tcPr>
            <w:tcW w:w="3135" w:type="dxa"/>
            <w:tcBorders>
              <w:top w:val="single" w:sz="8"/>
              <w:left w:val="single" w:sz="8"/>
              <w:bottom w:val="single" w:sz="8"/>
              <w:right w:val="single" w:sz="8"/>
            </w:tcBorders>
            <w:tcMar>
              <w:left w:w="70" w:type="dxa"/>
              <w:right w:w="70" w:type="dxa"/>
            </w:tcMar>
            <w:vAlign w:val="center"/>
          </w:tcPr>
          <w:p w:rsidR="711688CB" w:rsidP="711688CB" w:rsidRDefault="711688CB" w14:paraId="7B083C2E" w14:textId="2F876953">
            <w:pPr>
              <w:spacing w:before="0" w:beforeAutospacing="off" w:after="0" w:afterAutospacing="off" w:line="240" w:lineRule="auto"/>
              <w:rPr>
                <w:rFonts w:ascii="Arial" w:hAnsi="Arial" w:eastAsia="Arial" w:cs="Arial" w:asciiTheme="minorAscii" w:hAnsiTheme="minorAscii" w:eastAsiaTheme="minorAscii" w:cstheme="minorBidi"/>
                <w:color w:val="auto"/>
                <w:sz w:val="22"/>
                <w:szCs w:val="22"/>
                <w:lang w:eastAsia="en-US" w:bidi="ar-SA"/>
              </w:rPr>
            </w:pPr>
            <w:r w:rsidRPr="711688CB" w:rsidR="711688CB">
              <w:rPr>
                <w:rFonts w:ascii="Arial" w:hAnsi="Arial" w:eastAsia="Arial" w:cs="Arial" w:asciiTheme="minorAscii" w:hAnsiTheme="minorAscii" w:eastAsiaTheme="minorAscii" w:cstheme="minorBidi"/>
                <w:color w:val="auto"/>
                <w:sz w:val="22"/>
                <w:szCs w:val="22"/>
                <w:lang w:eastAsia="en-US" w:bidi="ar-SA"/>
              </w:rPr>
              <w:t>No se evidencia una actualización formal que incorpore las desviaciones presentadas.</w:t>
            </w:r>
          </w:p>
        </w:tc>
      </w:tr>
    </w:tbl>
    <w:p w:rsidR="23C918D7" w:rsidP="711688CB" w:rsidRDefault="23C918D7" w14:paraId="76EC038C" w14:textId="1EFF75A3">
      <w:pPr>
        <w:bidi w:val="0"/>
        <w:spacing w:after="16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r w:rsidRPr="711688CB" w:rsidR="23C918D7">
        <w:rPr>
          <w:rFonts w:ascii="Arial" w:hAnsi="Arial" w:eastAsia="Arial" w:cs="Arial" w:asciiTheme="minorAscii" w:hAnsiTheme="minorAscii" w:eastAsiaTheme="minorAscii" w:cstheme="minorBidi"/>
          <w:noProof w:val="0"/>
          <w:color w:val="auto"/>
          <w:sz w:val="22"/>
          <w:szCs w:val="22"/>
          <w:lang w:val="es-ES" w:eastAsia="en-US" w:bidi="ar-SA"/>
        </w:rPr>
        <w:t xml:space="preserve">  </w:t>
      </w:r>
    </w:p>
    <w:p w:rsidR="23C918D7" w:rsidP="711688CB" w:rsidRDefault="23C918D7" w14:paraId="31B6F5AA" w14:textId="48D9DE83">
      <w:pPr>
        <w:bidi w:val="0"/>
        <w:spacing w:after="16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r w:rsidRPr="711688CB" w:rsidR="23C918D7">
        <w:rPr>
          <w:rFonts w:ascii="Arial" w:hAnsi="Arial" w:eastAsia="Arial" w:cs="Arial" w:asciiTheme="minorAscii" w:hAnsiTheme="minorAscii" w:eastAsiaTheme="minorAscii" w:cstheme="minorBidi"/>
          <w:noProof w:val="0"/>
          <w:color w:val="auto"/>
          <w:sz w:val="22"/>
          <w:szCs w:val="22"/>
          <w:lang w:val="es-ES" w:eastAsia="en-US" w:bidi="ar-SA"/>
        </w:rPr>
        <w:t>En consecuencia, además del retraso evidenciado en la ejecución de las actividades, se observa un incumplimiento relacionado con la administración del cronograma contractual, en la medida en que el Ministerio no contó oportunamente con el instrumento aprobado para ejercer el seguimiento previsto contractualmente y, adicionalmente, el cronograma actualmente remitido no refleja las condiciones reales de ejecución derivadas de los retrasos presentados.</w:t>
      </w:r>
    </w:p>
    <w:p w:rsidR="23C918D7" w:rsidP="711688CB" w:rsidRDefault="23C918D7" w14:paraId="27B904D4" w14:textId="254B1B14">
      <w:pPr>
        <w:bidi w:val="0"/>
        <w:spacing w:after="16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r w:rsidRPr="711688CB" w:rsidR="23C918D7">
        <w:rPr>
          <w:rFonts w:ascii="Arial" w:hAnsi="Arial" w:eastAsia="Arial" w:cs="Arial" w:asciiTheme="minorAscii" w:hAnsiTheme="minorAscii" w:eastAsiaTheme="minorAscii" w:cstheme="minorBidi"/>
          <w:noProof w:val="0"/>
          <w:color w:val="auto"/>
          <w:sz w:val="22"/>
          <w:szCs w:val="22"/>
          <w:lang w:val="es-ES" w:eastAsia="en-US" w:bidi="ar-SA"/>
        </w:rPr>
        <w:t>Por lo anterior, se requiere formalmente a GECELCA para que remita un Cronograma Maestro actualizado, aprobado por la Interventoría, que incorpore el estado real de ejecución del Contrato Derivado, identifique las actividades ejecutadas, las pendientes, las reprogramadas y la nueva ruta crítica, precisando el impacto de las desviaciones sobre los hitos contractuales y las metas del Plan de Ejecución. Así mismo, deberá justificar técnicamente las causas que dieron lugar a las diferencias entre la programación inicialmente aprobada y la ejecución efectivamente alcanzada, indicando las acciones de recuperación que permitan restablecer la correspondencia entre la planeación contractual y el desarrollo del contrato.</w:t>
      </w:r>
    </w:p>
    <w:p w:rsidR="711688CB" w:rsidP="711688CB" w:rsidRDefault="711688CB" w14:paraId="169C8123" w14:textId="054AC08C">
      <w:pPr>
        <w:bidi w:val="0"/>
        <w:spacing w:after="16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p>
    <w:p w:rsidR="03622CC9" w:rsidP="711688CB" w:rsidRDefault="03622CC9" w14:paraId="7FD4E87A" w14:textId="33F4AA0B">
      <w:pPr>
        <w:pStyle w:val="Normal"/>
        <w:suppressLineNumbers w:val="0"/>
        <w:bidi w:val="0"/>
        <w:spacing w:before="0" w:beforeAutospacing="off" w:after="160" w:afterAutospacing="off" w:line="257" w:lineRule="auto"/>
        <w:ind w:left="0" w:right="0"/>
        <w:jc w:val="left"/>
      </w:pPr>
      <w:r w:rsidRPr="711688CB" w:rsidR="03622CC9">
        <w:rPr>
          <w:rFonts w:ascii="Arial" w:hAnsi="Arial" w:eastAsia="Arial" w:cs="Arial"/>
          <w:b w:val="1"/>
          <w:bCs w:val="1"/>
          <w:noProof w:val="0"/>
          <w:sz w:val="22"/>
          <w:szCs w:val="22"/>
          <w:lang w:val="es-ES"/>
        </w:rPr>
        <w:t>3.</w:t>
      </w:r>
      <w:r w:rsidRPr="711688CB" w:rsidR="409EF173">
        <w:rPr>
          <w:rFonts w:ascii="Arial" w:hAnsi="Arial" w:eastAsia="Arial" w:cs="Arial"/>
          <w:b w:val="1"/>
          <w:bCs w:val="1"/>
          <w:noProof w:val="0"/>
          <w:sz w:val="22"/>
          <w:szCs w:val="22"/>
          <w:lang w:val="es-ES"/>
        </w:rPr>
        <w:t>3</w:t>
      </w:r>
      <w:r w:rsidRPr="711688CB" w:rsidR="03622CC9">
        <w:rPr>
          <w:rFonts w:ascii="Arial" w:hAnsi="Arial" w:eastAsia="Arial" w:cs="Arial"/>
          <w:b w:val="1"/>
          <w:bCs w:val="1"/>
          <w:noProof w:val="0"/>
          <w:sz w:val="22"/>
          <w:szCs w:val="22"/>
          <w:lang w:val="es-ES"/>
        </w:rPr>
        <w:t xml:space="preserve">. </w:t>
      </w:r>
      <w:r w:rsidRPr="711688CB" w:rsidR="35AAA940">
        <w:rPr>
          <w:rFonts w:ascii="Arial" w:hAnsi="Arial" w:eastAsia="Arial" w:cs="Arial"/>
          <w:b w:val="1"/>
          <w:bCs w:val="1"/>
          <w:noProof w:val="0"/>
          <w:sz w:val="22"/>
          <w:szCs w:val="22"/>
          <w:lang w:val="es-ES"/>
        </w:rPr>
        <w:t>Requerimientos mínimos solicitados en plan de Choque</w:t>
      </w:r>
    </w:p>
    <w:p w:rsidR="3EB9D033" w:rsidP="711688CB" w:rsidRDefault="3EB9D033" w14:paraId="6D70C093" w14:textId="22FFDD51">
      <w:pPr>
        <w:spacing w:before="0" w:beforeAutospacing="off" w:after="160" w:afterAutospacing="off" w:line="257" w:lineRule="auto"/>
        <w:jc w:val="both"/>
        <w:rPr>
          <w:rFonts w:ascii="Arial" w:hAnsi="Arial" w:eastAsia="Arial" w:cs="Arial"/>
          <w:noProof w:val="0"/>
          <w:sz w:val="22"/>
          <w:szCs w:val="22"/>
          <w:lang w:val="es-ES"/>
        </w:rPr>
      </w:pPr>
      <w:r w:rsidRPr="711688CB" w:rsidR="3EB9D033">
        <w:rPr>
          <w:rFonts w:ascii="Arial" w:hAnsi="Arial" w:eastAsia="Arial" w:cs="Arial"/>
          <w:noProof w:val="0"/>
          <w:sz w:val="22"/>
          <w:szCs w:val="22"/>
          <w:lang w:val="es-ES"/>
        </w:rPr>
        <w:t>Con el fin de verificar el cumplimiento de la obligaci</w:t>
      </w:r>
      <w:r w:rsidRPr="711688CB" w:rsidR="12D511D6">
        <w:rPr>
          <w:rFonts w:ascii="Arial" w:hAnsi="Arial" w:eastAsia="Arial" w:cs="Arial"/>
          <w:noProof w:val="0"/>
          <w:sz w:val="22"/>
          <w:szCs w:val="22"/>
          <w:lang w:val="es-ES"/>
        </w:rPr>
        <w:t>ones</w:t>
      </w:r>
      <w:r w:rsidRPr="711688CB" w:rsidR="3EB9D033">
        <w:rPr>
          <w:rFonts w:ascii="Arial" w:hAnsi="Arial" w:eastAsia="Arial" w:cs="Arial"/>
          <w:noProof w:val="0"/>
          <w:sz w:val="22"/>
          <w:szCs w:val="22"/>
          <w:lang w:val="es-ES"/>
        </w:rPr>
        <w:t>, “</w:t>
      </w:r>
      <w:r w:rsidRPr="711688CB" w:rsidR="3EB9D033">
        <w:rPr>
          <w:rFonts w:ascii="Arial" w:hAnsi="Arial" w:eastAsia="Arial" w:cs="Arial"/>
          <w:noProof w:val="0"/>
          <w:sz w:val="22"/>
          <w:szCs w:val="22"/>
          <w:lang w:val="es-ES"/>
        </w:rPr>
        <w:t>Los contratos derivados deberán incluir, como mínimo, cláusulas relativas a: (i) obligaciones técnicas y de calidad; (</w:t>
      </w:r>
      <w:r w:rsidRPr="711688CB" w:rsidR="3EB9D033">
        <w:rPr>
          <w:rFonts w:ascii="Arial" w:hAnsi="Arial" w:eastAsia="Arial" w:cs="Arial"/>
          <w:noProof w:val="0"/>
          <w:sz w:val="22"/>
          <w:szCs w:val="22"/>
          <w:lang w:val="es-ES"/>
        </w:rPr>
        <w:t>ii</w:t>
      </w:r>
      <w:r w:rsidRPr="711688CB" w:rsidR="3EB9D033">
        <w:rPr>
          <w:rFonts w:ascii="Arial" w:hAnsi="Arial" w:eastAsia="Arial" w:cs="Arial"/>
          <w:noProof w:val="0"/>
          <w:sz w:val="22"/>
          <w:szCs w:val="22"/>
          <w:lang w:val="es-ES"/>
        </w:rPr>
        <w:t>) plazos y cronogramas de ejecución; (</w:t>
      </w:r>
      <w:r w:rsidRPr="711688CB" w:rsidR="3EB9D033">
        <w:rPr>
          <w:rFonts w:ascii="Arial" w:hAnsi="Arial" w:eastAsia="Arial" w:cs="Arial"/>
          <w:noProof w:val="0"/>
          <w:sz w:val="22"/>
          <w:szCs w:val="22"/>
          <w:lang w:val="es-ES"/>
        </w:rPr>
        <w:t>iii</w:t>
      </w:r>
      <w:r w:rsidRPr="711688CB" w:rsidR="3EB9D033">
        <w:rPr>
          <w:rFonts w:ascii="Arial" w:hAnsi="Arial" w:eastAsia="Arial" w:cs="Arial"/>
          <w:noProof w:val="0"/>
          <w:sz w:val="22"/>
          <w:szCs w:val="22"/>
          <w:lang w:val="es-ES"/>
        </w:rPr>
        <w:t>) régimen de supervisión, seguimiento y reportes; (</w:t>
      </w:r>
      <w:r w:rsidRPr="711688CB" w:rsidR="3EB9D033">
        <w:rPr>
          <w:rFonts w:ascii="Arial" w:hAnsi="Arial" w:eastAsia="Arial" w:cs="Arial"/>
          <w:noProof w:val="0"/>
          <w:sz w:val="22"/>
          <w:szCs w:val="22"/>
          <w:lang w:val="es-ES"/>
        </w:rPr>
        <w:t>iv</w:t>
      </w:r>
      <w:r w:rsidRPr="711688CB" w:rsidR="3EB9D033">
        <w:rPr>
          <w:rFonts w:ascii="Arial" w:hAnsi="Arial" w:eastAsia="Arial" w:cs="Arial"/>
          <w:noProof w:val="0"/>
          <w:sz w:val="22"/>
          <w:szCs w:val="22"/>
          <w:lang w:val="es-ES"/>
        </w:rPr>
        <w:t>) garantías y pólizas exigidas; (v) multas y sanciones por incumplimiento; (vi) cláusula penal pecuniaria; (</w:t>
      </w:r>
      <w:r w:rsidRPr="711688CB" w:rsidR="3EB9D033">
        <w:rPr>
          <w:rFonts w:ascii="Arial" w:hAnsi="Arial" w:eastAsia="Arial" w:cs="Arial"/>
          <w:noProof w:val="0"/>
          <w:sz w:val="22"/>
          <w:szCs w:val="22"/>
          <w:lang w:val="es-ES"/>
        </w:rPr>
        <w:t>vii</w:t>
      </w:r>
      <w:r w:rsidRPr="711688CB" w:rsidR="3EB9D033">
        <w:rPr>
          <w:rFonts w:ascii="Arial" w:hAnsi="Arial" w:eastAsia="Arial" w:cs="Arial"/>
          <w:noProof w:val="0"/>
          <w:sz w:val="22"/>
          <w:szCs w:val="22"/>
          <w:lang w:val="es-ES"/>
        </w:rPr>
        <w:t>) confidencialidad y manejo de información; (</w:t>
      </w:r>
      <w:r w:rsidRPr="711688CB" w:rsidR="3EB9D033">
        <w:rPr>
          <w:rFonts w:ascii="Arial" w:hAnsi="Arial" w:eastAsia="Arial" w:cs="Arial"/>
          <w:noProof w:val="0"/>
          <w:sz w:val="22"/>
          <w:szCs w:val="22"/>
          <w:lang w:val="es-ES"/>
        </w:rPr>
        <w:t>viii</w:t>
      </w:r>
      <w:r w:rsidRPr="711688CB" w:rsidR="3EB9D033">
        <w:rPr>
          <w:rFonts w:ascii="Arial" w:hAnsi="Arial" w:eastAsia="Arial" w:cs="Arial"/>
          <w:noProof w:val="0"/>
          <w:sz w:val="22"/>
          <w:szCs w:val="22"/>
          <w:lang w:val="es-ES"/>
        </w:rPr>
        <w:t>) subcontratación; y (</w:t>
      </w:r>
      <w:r w:rsidRPr="711688CB" w:rsidR="3EB9D033">
        <w:rPr>
          <w:rFonts w:ascii="Arial" w:hAnsi="Arial" w:eastAsia="Arial" w:cs="Arial"/>
          <w:noProof w:val="0"/>
          <w:sz w:val="22"/>
          <w:szCs w:val="22"/>
          <w:lang w:val="es-ES"/>
        </w:rPr>
        <w:t>ix</w:t>
      </w:r>
      <w:r w:rsidRPr="711688CB" w:rsidR="3EB9D033">
        <w:rPr>
          <w:rFonts w:ascii="Arial" w:hAnsi="Arial" w:eastAsia="Arial" w:cs="Arial"/>
          <w:noProof w:val="0"/>
          <w:sz w:val="22"/>
          <w:szCs w:val="22"/>
          <w:lang w:val="es-ES"/>
        </w:rPr>
        <w:t xml:space="preserve">) terminación </w:t>
      </w:r>
      <w:r w:rsidRPr="711688CB" w:rsidR="3EB9D033">
        <w:rPr>
          <w:rFonts w:ascii="Arial" w:hAnsi="Arial" w:eastAsia="Arial" w:cs="Arial"/>
          <w:noProof w:val="0"/>
          <w:sz w:val="22"/>
          <w:szCs w:val="22"/>
          <w:lang w:val="es-ES"/>
        </w:rPr>
        <w:t xml:space="preserve">anticipada por incumplimiento, razones de conveniencia o </w:t>
      </w:r>
      <w:r w:rsidRPr="711688CB" w:rsidR="3EB9D033">
        <w:rPr>
          <w:rFonts w:ascii="Arial" w:hAnsi="Arial" w:eastAsia="Arial" w:cs="Arial"/>
          <w:noProof w:val="0"/>
          <w:sz w:val="22"/>
          <w:szCs w:val="22"/>
          <w:lang w:val="es-ES"/>
        </w:rPr>
        <w:t>causas asociadas</w:t>
      </w:r>
      <w:r w:rsidRPr="711688CB" w:rsidR="3EB9D033">
        <w:rPr>
          <w:rFonts w:ascii="Arial" w:hAnsi="Arial" w:eastAsia="Arial" w:cs="Arial"/>
          <w:noProof w:val="0"/>
          <w:sz w:val="22"/>
          <w:szCs w:val="22"/>
          <w:lang w:val="es-ES"/>
        </w:rPr>
        <w:t xml:space="preserve"> al Programa.”</w:t>
      </w:r>
      <w:r w:rsidRPr="711688CB" w:rsidR="18B54E3E">
        <w:rPr>
          <w:rFonts w:ascii="Arial" w:hAnsi="Arial" w:eastAsia="Arial" w:cs="Arial"/>
          <w:noProof w:val="0"/>
          <w:sz w:val="22"/>
          <w:szCs w:val="22"/>
          <w:lang w:val="es-ES"/>
        </w:rPr>
        <w:t xml:space="preserve"> y “Cumplir y hacer cumplir los plazos y actividades previstas y aprobadas </w:t>
      </w:r>
      <w:r w:rsidRPr="711688CB" w:rsidR="18B54E3E">
        <w:rPr>
          <w:rFonts w:ascii="Arial" w:hAnsi="Arial" w:eastAsia="Arial" w:cs="Arial"/>
          <w:noProof w:val="0"/>
          <w:sz w:val="22"/>
          <w:szCs w:val="22"/>
          <w:lang w:val="es-ES"/>
        </w:rPr>
        <w:t>enel</w:t>
      </w:r>
      <w:r w:rsidRPr="711688CB" w:rsidR="18B54E3E">
        <w:rPr>
          <w:rFonts w:ascii="Arial" w:hAnsi="Arial" w:eastAsia="Arial" w:cs="Arial"/>
          <w:noProof w:val="0"/>
          <w:sz w:val="22"/>
          <w:szCs w:val="22"/>
          <w:lang w:val="es-ES"/>
        </w:rPr>
        <w:t xml:space="preserve"> Cronograma de los Contratos Derivados”</w:t>
      </w:r>
      <w:r w:rsidRPr="711688CB" w:rsidR="3EB9D033">
        <w:rPr>
          <w:rFonts w:ascii="Arial" w:hAnsi="Arial" w:eastAsia="Arial" w:cs="Arial"/>
          <w:noProof w:val="0"/>
          <w:sz w:val="22"/>
          <w:szCs w:val="22"/>
          <w:lang w:val="es-ES"/>
        </w:rPr>
        <w:t>, se debe p</w:t>
      </w:r>
      <w:r w:rsidRPr="711688CB" w:rsidR="03622CC9">
        <w:rPr>
          <w:rFonts w:ascii="Arial" w:hAnsi="Arial" w:eastAsia="Arial" w:cs="Arial"/>
          <w:noProof w:val="0"/>
          <w:sz w:val="22"/>
          <w:szCs w:val="22"/>
          <w:lang w:val="es-ES"/>
        </w:rPr>
        <w:t>resentar una explicación técnica, administrativa, operativa, contractual, financiera y social de las causas que han generado el retraso en el cumplimiento del hito de las primeras quinientas (500) soluciones fotovoltaicas</w:t>
      </w:r>
      <w:r w:rsidRPr="711688CB" w:rsidR="4CF65700">
        <w:rPr>
          <w:rFonts w:ascii="Arial" w:hAnsi="Arial" w:eastAsia="Arial" w:cs="Arial"/>
          <w:noProof w:val="0"/>
          <w:sz w:val="22"/>
          <w:szCs w:val="22"/>
          <w:lang w:val="es-ES"/>
        </w:rPr>
        <w:t xml:space="preserve"> incluyendo como mínimo:</w:t>
      </w:r>
    </w:p>
    <w:p w:rsidR="03622CC9" w:rsidP="711688CB" w:rsidRDefault="03622CC9" w14:paraId="5F9E614F" w14:textId="20733CA4">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3622CC9">
        <w:rPr>
          <w:rFonts w:ascii="Arial" w:hAnsi="Arial" w:eastAsia="Arial" w:cs="Arial"/>
          <w:noProof w:val="0"/>
          <w:sz w:val="22"/>
          <w:szCs w:val="22"/>
          <w:lang w:val="es-ES"/>
        </w:rPr>
        <w:t>Identificación precisa de las actividades retrasadas.</w:t>
      </w:r>
    </w:p>
    <w:p w:rsidR="03622CC9" w:rsidP="711688CB" w:rsidRDefault="03622CC9" w14:paraId="6734BF2B" w14:textId="23727D84">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3622CC9">
        <w:rPr>
          <w:rFonts w:ascii="Arial" w:hAnsi="Arial" w:eastAsia="Arial" w:cs="Arial" w:asciiTheme="minorAscii" w:hAnsiTheme="minorAscii" w:eastAsiaTheme="minorAscii" w:cstheme="minorBidi"/>
          <w:noProof w:val="0"/>
          <w:color w:val="auto"/>
          <w:sz w:val="22"/>
          <w:szCs w:val="22"/>
          <w:lang w:val="es-ES" w:eastAsia="en-US" w:bidi="ar-SA"/>
        </w:rPr>
        <w:t xml:space="preserve">Un análisis técnico de las causas que originaron el retraso evidenciado, incluyendo el responsable de la actividad afectada. </w:t>
      </w:r>
    </w:p>
    <w:p w:rsidR="03622CC9" w:rsidP="711688CB" w:rsidRDefault="03622CC9" w14:paraId="49A58237" w14:textId="5A008787">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asciiTheme="minorAscii" w:hAnsiTheme="minorAscii" w:eastAsiaTheme="minorAscii" w:cstheme="minorBidi"/>
          <w:noProof w:val="0"/>
          <w:color w:val="auto"/>
          <w:sz w:val="22"/>
          <w:szCs w:val="22"/>
          <w:lang w:val="es-ES" w:eastAsia="en-US" w:bidi="ar-SA"/>
        </w:rPr>
      </w:pPr>
      <w:r w:rsidRPr="711688CB" w:rsidR="03622CC9">
        <w:rPr>
          <w:rFonts w:ascii="Arial" w:hAnsi="Arial" w:eastAsia="Arial" w:cs="Arial" w:asciiTheme="minorAscii" w:hAnsiTheme="minorAscii" w:eastAsiaTheme="minorAscii" w:cstheme="minorBidi"/>
          <w:noProof w:val="0"/>
          <w:color w:val="auto"/>
          <w:sz w:val="22"/>
          <w:szCs w:val="22"/>
          <w:lang w:val="es-ES" w:eastAsia="en-US" w:bidi="ar-SA"/>
        </w:rPr>
        <w:t>Las acciones correctivas específicas para recuperar el atraso acumulado frente a la programación contractual.</w:t>
      </w:r>
    </w:p>
    <w:p w:rsidR="6B9601AB" w:rsidP="711688CB" w:rsidRDefault="6B9601AB" w14:paraId="790ADFDC" w14:textId="58DDE56A">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asciiTheme="minorAscii" w:hAnsiTheme="minorAscii" w:eastAsiaTheme="minorAscii" w:cstheme="minorBidi"/>
          <w:noProof w:val="0"/>
          <w:color w:val="auto"/>
          <w:sz w:val="22"/>
          <w:szCs w:val="22"/>
          <w:lang w:val="es-ES" w:eastAsia="en-US" w:bidi="ar-SA"/>
        </w:rPr>
      </w:pPr>
      <w:r w:rsidRPr="711688CB" w:rsidR="6B9601AB">
        <w:rPr>
          <w:rFonts w:ascii="Arial" w:hAnsi="Arial" w:eastAsia="Arial" w:cs="Arial" w:asciiTheme="minorAscii" w:hAnsiTheme="minorAscii" w:eastAsiaTheme="minorAscii" w:cstheme="minorBidi"/>
          <w:noProof w:val="0"/>
          <w:color w:val="auto"/>
          <w:sz w:val="22"/>
          <w:szCs w:val="22"/>
          <w:lang w:val="es-ES" w:eastAsia="en-US" w:bidi="ar-SA"/>
        </w:rPr>
        <w:t xml:space="preserve">La proyección de entrada en operación de las soluciones, indicando el número de usuarios que serán efectivamente beneficiados en cada periodo hasta recuperar la desviación identificada. </w:t>
      </w:r>
    </w:p>
    <w:p w:rsidR="6B9601AB" w:rsidP="711688CB" w:rsidRDefault="6B9601AB" w14:paraId="01DAADB7" w14:textId="387E5A97">
      <w:pPr>
        <w:pStyle w:val="ListParagraph"/>
        <w:numPr>
          <w:ilvl w:val="0"/>
          <w:numId w:val="2"/>
        </w:numPr>
        <w:bidi w:val="0"/>
        <w:spacing w:before="0" w:beforeAutospacing="off" w:after="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r w:rsidRPr="711688CB" w:rsidR="6B9601AB">
        <w:rPr>
          <w:rFonts w:ascii="Arial" w:hAnsi="Arial" w:eastAsia="Arial" w:cs="Arial" w:asciiTheme="minorAscii" w:hAnsiTheme="minorAscii" w:eastAsiaTheme="minorAscii" w:cstheme="minorBidi"/>
          <w:noProof w:val="0"/>
          <w:color w:val="auto"/>
          <w:sz w:val="22"/>
          <w:szCs w:val="22"/>
          <w:lang w:val="es-ES" w:eastAsia="en-US" w:bidi="ar-SA"/>
        </w:rPr>
        <w:t>Los riesgos asociados al cumplimiento del cronograma actualizado y las medidas concretas para su mitigación.</w:t>
      </w:r>
    </w:p>
    <w:p w:rsidR="03622CC9" w:rsidP="711688CB" w:rsidRDefault="03622CC9" w14:paraId="18ED7100" w14:textId="1F551A0E">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3622CC9">
        <w:rPr>
          <w:rFonts w:ascii="Arial" w:hAnsi="Arial" w:eastAsia="Arial" w:cs="Arial"/>
          <w:noProof w:val="0"/>
          <w:sz w:val="22"/>
          <w:szCs w:val="22"/>
          <w:lang w:val="es-ES"/>
        </w:rPr>
        <w:t>Impacto sobre el cronograma maestro del Contrato OGE-17548.</w:t>
      </w:r>
    </w:p>
    <w:p w:rsidR="03622CC9" w:rsidP="711688CB" w:rsidRDefault="03622CC9" w14:paraId="7030013A" w14:textId="6AE32C4E">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3622CC9">
        <w:rPr>
          <w:rFonts w:ascii="Arial" w:hAnsi="Arial" w:eastAsia="Arial" w:cs="Arial"/>
          <w:noProof w:val="0"/>
          <w:sz w:val="22"/>
          <w:szCs w:val="22"/>
          <w:lang w:val="es-ES"/>
        </w:rPr>
        <w:t>Impacto sobre la Curva S programada y ejecutada.</w:t>
      </w:r>
    </w:p>
    <w:p w:rsidR="03622CC9" w:rsidP="711688CB" w:rsidRDefault="03622CC9" w14:paraId="4B7CB3F7" w14:textId="0AC46BB8">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3622CC9">
        <w:rPr>
          <w:rFonts w:ascii="Arial" w:hAnsi="Arial" w:eastAsia="Arial" w:cs="Arial"/>
          <w:noProof w:val="0"/>
          <w:sz w:val="22"/>
          <w:szCs w:val="22"/>
          <w:lang w:val="es-ES"/>
        </w:rPr>
        <w:t>Relación de restricciones asociadas a materiales, equipos, personal, ingeniería, interventoría, Operador de Red, certificación RETIE o comunidad.</w:t>
      </w:r>
    </w:p>
    <w:p w:rsidR="03622CC9" w:rsidP="711688CB" w:rsidRDefault="03622CC9" w14:paraId="1027425E" w14:textId="2DC7A609">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3622CC9">
        <w:rPr>
          <w:rFonts w:ascii="Arial" w:hAnsi="Arial" w:eastAsia="Arial" w:cs="Arial"/>
          <w:noProof w:val="0"/>
          <w:sz w:val="22"/>
          <w:szCs w:val="22"/>
          <w:lang w:val="es-ES"/>
        </w:rPr>
        <w:t>Listado de no conformidades generadas por los entes certificadores</w:t>
      </w:r>
      <w:r w:rsidRPr="711688CB" w:rsidR="798E163F">
        <w:rPr>
          <w:rFonts w:ascii="Arial" w:hAnsi="Arial" w:eastAsia="Arial" w:cs="Arial"/>
          <w:noProof w:val="0"/>
          <w:sz w:val="22"/>
          <w:szCs w:val="22"/>
          <w:lang w:val="es-ES"/>
        </w:rPr>
        <w:t xml:space="preserve"> RETIE</w:t>
      </w:r>
      <w:r w:rsidRPr="711688CB" w:rsidR="03622CC9">
        <w:rPr>
          <w:rFonts w:ascii="Arial" w:hAnsi="Arial" w:eastAsia="Arial" w:cs="Arial"/>
          <w:noProof w:val="0"/>
          <w:sz w:val="22"/>
          <w:szCs w:val="22"/>
          <w:lang w:val="es-ES"/>
        </w:rPr>
        <w:t>.</w:t>
      </w:r>
    </w:p>
    <w:p w:rsidR="44A780AC" w:rsidP="711688CB" w:rsidRDefault="44A780AC" w14:paraId="6746603E" w14:textId="36D6BBF3">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44A780AC">
        <w:rPr>
          <w:rFonts w:ascii="Arial" w:hAnsi="Arial" w:eastAsia="Arial" w:cs="Arial"/>
          <w:noProof w:val="0"/>
          <w:sz w:val="22"/>
          <w:szCs w:val="22"/>
          <w:lang w:val="es-ES"/>
        </w:rPr>
        <w:t>Cronograma detallado para la presentación de las certificaciones RETIE pendientes.</w:t>
      </w:r>
    </w:p>
    <w:p w:rsidR="1CBF88D0" w:rsidP="711688CB" w:rsidRDefault="1CBF88D0" w14:paraId="32FABB26" w14:textId="36535DE7">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1CBF88D0">
        <w:rPr>
          <w:rFonts w:ascii="Arial" w:hAnsi="Arial" w:eastAsia="Arial" w:cs="Arial"/>
          <w:noProof w:val="0"/>
          <w:sz w:val="22"/>
          <w:szCs w:val="22"/>
          <w:lang w:val="es-ES"/>
        </w:rPr>
        <w:t xml:space="preserve">Estado actual del trámite ante el Operador de Red incluyendo la documentación pendiente por radicar. </w:t>
      </w:r>
    </w:p>
    <w:p w:rsidR="1CBF88D0" w:rsidP="711688CB" w:rsidRDefault="1CBF88D0" w14:paraId="5FA1D014" w14:textId="4450C850">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1CBF88D0">
        <w:rPr>
          <w:rFonts w:ascii="Arial" w:hAnsi="Arial" w:eastAsia="Arial" w:cs="Arial"/>
          <w:noProof w:val="0"/>
          <w:sz w:val="22"/>
          <w:szCs w:val="22"/>
          <w:lang w:val="es-ES"/>
        </w:rPr>
        <w:t xml:space="preserve">Número de soluciones radicadas, observadas, aprobadas, rechazadas o pendientes, incluyendo el listado de Requisitos técnicos, pruebas preoperacionales y demás que impiden la debida aprobación. </w:t>
      </w:r>
    </w:p>
    <w:p w:rsidR="1CBF88D0" w:rsidP="711688CB" w:rsidRDefault="1CBF88D0" w14:paraId="161900D5" w14:textId="24291351">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1CBF88D0">
        <w:rPr>
          <w:rFonts w:ascii="Arial" w:hAnsi="Arial" w:eastAsia="Arial" w:cs="Arial"/>
          <w:noProof w:val="0"/>
          <w:sz w:val="22"/>
          <w:szCs w:val="22"/>
          <w:lang w:val="es-ES"/>
        </w:rPr>
        <w:t>Estado de la documentación cargada o pendiente en ventanilla única.</w:t>
      </w:r>
    </w:p>
    <w:p w:rsidR="1CBF88D0" w:rsidP="711688CB" w:rsidRDefault="1CBF88D0" w14:paraId="05314268" w14:textId="2217370E">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1CBF88D0">
        <w:rPr>
          <w:rFonts w:ascii="Arial" w:hAnsi="Arial" w:eastAsia="Arial" w:cs="Arial"/>
          <w:noProof w:val="0"/>
          <w:sz w:val="22"/>
          <w:szCs w:val="22"/>
          <w:lang w:val="es-ES"/>
        </w:rPr>
        <w:t>Cronograma previsto para cerrar la legalización de las primeras 500 soluciones.</w:t>
      </w:r>
    </w:p>
    <w:p w:rsidR="0A215C98" w:rsidP="711688CB" w:rsidRDefault="0A215C98" w14:paraId="62763D2D" w14:textId="7B791581">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A215C98">
        <w:rPr>
          <w:rFonts w:ascii="Arial" w:hAnsi="Arial" w:eastAsia="Arial" w:cs="Arial"/>
          <w:noProof w:val="0"/>
          <w:sz w:val="22"/>
          <w:szCs w:val="22"/>
          <w:lang w:val="es-ES"/>
        </w:rPr>
        <w:t>Plan de instalación de medidores bidireccionales.</w:t>
      </w:r>
    </w:p>
    <w:p w:rsidR="0A215C98" w:rsidP="711688CB" w:rsidRDefault="0A215C98" w14:paraId="598A0A2B" w14:textId="30162C01">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A215C98">
        <w:rPr>
          <w:rFonts w:ascii="Arial" w:hAnsi="Arial" w:eastAsia="Arial" w:cs="Arial"/>
          <w:noProof w:val="0"/>
          <w:sz w:val="22"/>
          <w:szCs w:val="22"/>
          <w:lang w:val="es-ES"/>
        </w:rPr>
        <w:t>Metas semanales verificables.</w:t>
      </w:r>
    </w:p>
    <w:p w:rsidR="0A215C98" w:rsidP="711688CB" w:rsidRDefault="0A215C98" w14:paraId="5485AE7F" w14:textId="3AA2020F">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A215C98">
        <w:rPr>
          <w:rFonts w:ascii="Arial" w:hAnsi="Arial" w:eastAsia="Arial" w:cs="Arial"/>
          <w:noProof w:val="0"/>
          <w:sz w:val="22"/>
          <w:szCs w:val="22"/>
          <w:lang w:val="es-ES"/>
        </w:rPr>
        <w:t>Indicadores de avance físico, contractual y financiero.</w:t>
      </w:r>
    </w:p>
    <w:p w:rsidR="0A215C98" w:rsidP="711688CB" w:rsidRDefault="0A215C98" w14:paraId="2FBC11CF" w14:textId="579AE23C">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A215C98">
        <w:rPr>
          <w:rFonts w:ascii="Arial" w:hAnsi="Arial" w:eastAsia="Arial" w:cs="Arial"/>
          <w:noProof w:val="0"/>
          <w:sz w:val="22"/>
          <w:szCs w:val="22"/>
          <w:lang w:val="es-ES"/>
        </w:rPr>
        <w:t>Mecanismo de reporte diario o semanal a GECELCA, interventoría y Ministerio.</w:t>
      </w:r>
    </w:p>
    <w:p w:rsidR="1CC4A86F" w:rsidP="711688CB" w:rsidRDefault="1CC4A86F" w14:paraId="01F33D02" w14:textId="0685D550">
      <w:pPr>
        <w:pStyle w:val="ListParagraph"/>
        <w:numPr>
          <w:ilvl w:val="0"/>
          <w:numId w:val="2"/>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1CC4A86F">
        <w:rPr>
          <w:rFonts w:ascii="Arial" w:hAnsi="Arial" w:eastAsia="Arial" w:cs="Arial"/>
          <w:noProof w:val="0"/>
          <w:sz w:val="22"/>
          <w:szCs w:val="22"/>
          <w:lang w:val="es-ES"/>
        </w:rPr>
        <w:t>Registro fotográfico georreferenciado.</w:t>
      </w:r>
    </w:p>
    <w:p w:rsidR="711688CB" w:rsidP="711688CB" w:rsidRDefault="711688CB" w14:paraId="16B7D76F" w14:textId="7532D1F5">
      <w:pPr>
        <w:pStyle w:val="ListParagraph"/>
        <w:tabs>
          <w:tab w:val="left" w:leader="none" w:pos="0"/>
          <w:tab w:val="left" w:leader="none" w:pos="720"/>
        </w:tabs>
        <w:spacing w:before="0" w:beforeAutospacing="off" w:after="160" w:afterAutospacing="off" w:line="257" w:lineRule="auto"/>
        <w:ind w:left="720"/>
        <w:jc w:val="left"/>
        <w:rPr>
          <w:rFonts w:ascii="Arial" w:hAnsi="Arial" w:eastAsia="Arial" w:cs="Arial"/>
          <w:noProof w:val="0"/>
          <w:sz w:val="22"/>
          <w:szCs w:val="22"/>
          <w:lang w:val="es-ES"/>
        </w:rPr>
      </w:pPr>
    </w:p>
    <w:p w:rsidR="0A215C98" w:rsidP="711688CB" w:rsidRDefault="0A215C98" w14:paraId="49F782AB" w14:textId="01861F7C">
      <w:pPr>
        <w:spacing w:before="0" w:beforeAutospacing="off" w:after="160" w:afterAutospacing="off" w:line="257" w:lineRule="auto"/>
        <w:jc w:val="both"/>
      </w:pPr>
      <w:r w:rsidRPr="711688CB" w:rsidR="0A215C98">
        <w:rPr>
          <w:rFonts w:ascii="Arial" w:hAnsi="Arial" w:eastAsia="Arial" w:cs="Arial"/>
          <w:noProof w:val="0"/>
          <w:sz w:val="22"/>
          <w:szCs w:val="22"/>
          <w:lang w:val="es-ES"/>
        </w:rPr>
        <w:t>Para cada actividad se deberá indicar: responsable, fecha programada, fecha real o estimada, porcentaje de avance, restricciones actuales, acción correctiva, soporte documental y fecha de cierre.</w:t>
      </w:r>
    </w:p>
    <w:p w:rsidR="03622CC9" w:rsidP="711688CB" w:rsidRDefault="03622CC9" w14:paraId="6167FBBF" w14:textId="2D7075F2">
      <w:pPr>
        <w:spacing w:before="0" w:beforeAutospacing="off" w:after="160" w:afterAutospacing="off" w:line="257" w:lineRule="auto"/>
        <w:jc w:val="both"/>
      </w:pPr>
      <w:r w:rsidRPr="711688CB" w:rsidR="03622CC9">
        <w:rPr>
          <w:rFonts w:ascii="Arial" w:hAnsi="Arial" w:eastAsia="Arial" w:cs="Arial"/>
          <w:noProof w:val="0"/>
          <w:sz w:val="22"/>
          <w:szCs w:val="22"/>
          <w:lang w:val="es-ES"/>
        </w:rPr>
        <w:t xml:space="preserve">De manera particular, se solicita explicar detalladamente la restricción técnica asociada a la parametrización de los </w:t>
      </w:r>
      <w:r w:rsidRPr="711688CB" w:rsidR="03622CC9">
        <w:rPr>
          <w:rFonts w:ascii="Arial" w:hAnsi="Arial" w:eastAsia="Arial" w:cs="Arial"/>
          <w:noProof w:val="0"/>
          <w:sz w:val="22"/>
          <w:szCs w:val="22"/>
          <w:lang w:val="es-ES"/>
        </w:rPr>
        <w:t>microinversores</w:t>
      </w:r>
      <w:r w:rsidRPr="711688CB" w:rsidR="03622CC9">
        <w:rPr>
          <w:rFonts w:ascii="Arial" w:hAnsi="Arial" w:eastAsia="Arial" w:cs="Arial"/>
          <w:noProof w:val="0"/>
          <w:sz w:val="22"/>
          <w:szCs w:val="22"/>
          <w:lang w:val="es-ES"/>
        </w:rPr>
        <w:t>, indicando marca, modelo, ficha técnica, versión de firmware, parámetros que no han podido ser configurados, valores exigidos, valores actualmente configurados y su relación con los requisitos de protección exigidos por el Consejo Nacional de Operación (CNO), el Código de Redes, la regulación CREG aplicable y el Operador de Red.</w:t>
      </w:r>
      <w:r w:rsidRPr="711688CB" w:rsidR="086921E6">
        <w:rPr>
          <w:rFonts w:ascii="Arial" w:hAnsi="Arial" w:eastAsia="Arial" w:cs="Arial"/>
          <w:noProof w:val="0"/>
          <w:sz w:val="22"/>
          <w:szCs w:val="22"/>
          <w:lang w:val="es-ES"/>
        </w:rPr>
        <w:t xml:space="preserve"> Se deberá incluir el Plan de parametrización masiva de los </w:t>
      </w:r>
      <w:r w:rsidRPr="711688CB" w:rsidR="086921E6">
        <w:rPr>
          <w:rFonts w:ascii="Arial" w:hAnsi="Arial" w:eastAsia="Arial" w:cs="Arial"/>
          <w:noProof w:val="0"/>
          <w:sz w:val="22"/>
          <w:szCs w:val="22"/>
          <w:lang w:val="es-ES"/>
        </w:rPr>
        <w:t>microinversores</w:t>
      </w:r>
      <w:r w:rsidRPr="711688CB" w:rsidR="086921E6">
        <w:rPr>
          <w:rFonts w:ascii="Arial" w:hAnsi="Arial" w:eastAsia="Arial" w:cs="Arial"/>
          <w:noProof w:val="0"/>
          <w:sz w:val="22"/>
          <w:szCs w:val="22"/>
          <w:lang w:val="es-ES"/>
        </w:rPr>
        <w:t xml:space="preserve">.  </w:t>
      </w:r>
    </w:p>
    <w:p w:rsidR="3226D006" w:rsidP="711688CB" w:rsidRDefault="3226D006" w14:paraId="63E25B7C" w14:textId="2A76AB36">
      <w:pPr>
        <w:pStyle w:val="Normal"/>
        <w:suppressLineNumbers w:val="0"/>
        <w:bidi w:val="0"/>
        <w:spacing w:before="0" w:beforeAutospacing="off" w:after="160" w:afterAutospacing="off" w:line="257" w:lineRule="auto"/>
        <w:ind w:left="0" w:right="0"/>
        <w:jc w:val="both"/>
        <w:rPr>
          <w:rFonts w:ascii="Arial" w:hAnsi="Arial" w:eastAsia="Arial" w:cs="Arial"/>
          <w:noProof w:val="0"/>
          <w:sz w:val="22"/>
          <w:szCs w:val="22"/>
          <w:lang w:val="es-ES"/>
        </w:rPr>
      </w:pPr>
      <w:r w:rsidRPr="711688CB" w:rsidR="3226D006">
        <w:rPr>
          <w:rFonts w:ascii="Arial" w:hAnsi="Arial" w:eastAsia="Arial" w:cs="Arial"/>
          <w:noProof w:val="0"/>
          <w:sz w:val="22"/>
          <w:szCs w:val="22"/>
          <w:lang w:val="es-ES"/>
        </w:rPr>
        <w:t xml:space="preserve">Atendiendo a la obligación “Mantener informado al MINISTERIO y/o la Mesa Técnica sobre los </w:t>
      </w:r>
      <w:r w:rsidRPr="711688CB" w:rsidR="3226D006">
        <w:rPr>
          <w:rFonts w:ascii="Arial" w:hAnsi="Arial" w:eastAsia="Arial" w:cs="Arial"/>
          <w:noProof w:val="0"/>
          <w:sz w:val="22"/>
          <w:szCs w:val="22"/>
          <w:lang w:val="es-ES"/>
        </w:rPr>
        <w:t>avancese</w:t>
      </w:r>
      <w:r w:rsidRPr="711688CB" w:rsidR="3226D006">
        <w:rPr>
          <w:rFonts w:ascii="Arial" w:hAnsi="Arial" w:eastAsia="Arial" w:cs="Arial"/>
          <w:noProof w:val="0"/>
          <w:sz w:val="22"/>
          <w:szCs w:val="22"/>
          <w:lang w:val="es-ES"/>
        </w:rPr>
        <w:t xml:space="preserve"> inconvenientes en la construcción de los proyectos de tal manera que </w:t>
      </w:r>
      <w:r w:rsidRPr="711688CB" w:rsidR="3226D006">
        <w:rPr>
          <w:rFonts w:ascii="Arial" w:hAnsi="Arial" w:eastAsia="Arial" w:cs="Arial"/>
          <w:noProof w:val="0"/>
          <w:sz w:val="22"/>
          <w:szCs w:val="22"/>
          <w:lang w:val="es-ES"/>
        </w:rPr>
        <w:t>sepuedan</w:t>
      </w:r>
      <w:r w:rsidRPr="711688CB" w:rsidR="3226D006">
        <w:rPr>
          <w:rFonts w:ascii="Arial" w:hAnsi="Arial" w:eastAsia="Arial" w:cs="Arial"/>
          <w:noProof w:val="0"/>
          <w:sz w:val="22"/>
          <w:szCs w:val="22"/>
          <w:lang w:val="es-ES"/>
        </w:rPr>
        <w:t xml:space="preserve"> tomar decisiones oportunas.”</w:t>
      </w:r>
      <w:r w:rsidRPr="711688CB" w:rsidR="57CFFBE9">
        <w:rPr>
          <w:rFonts w:ascii="Arial" w:hAnsi="Arial" w:eastAsia="Arial" w:cs="Arial"/>
          <w:noProof w:val="0"/>
          <w:sz w:val="22"/>
          <w:szCs w:val="22"/>
          <w:lang w:val="es-ES"/>
        </w:rPr>
        <w:t>, se deberá p</w:t>
      </w:r>
      <w:r w:rsidRPr="711688CB" w:rsidR="0CBFF01E">
        <w:rPr>
          <w:rFonts w:ascii="Arial" w:hAnsi="Arial" w:eastAsia="Arial" w:cs="Arial"/>
          <w:noProof w:val="0"/>
          <w:sz w:val="22"/>
          <w:szCs w:val="22"/>
          <w:lang w:val="es-ES"/>
        </w:rPr>
        <w:t>resentar el impacto generado por el retraso en la legalización sobre la instalación, cambio o activación de los medidores bidireccionales, así como sobre las actividades dependientes del proceso de conexión definitiva</w:t>
      </w:r>
      <w:r w:rsidRPr="711688CB" w:rsidR="73B5826C">
        <w:rPr>
          <w:rFonts w:ascii="Arial" w:hAnsi="Arial" w:eastAsia="Arial" w:cs="Arial"/>
          <w:noProof w:val="0"/>
          <w:sz w:val="22"/>
          <w:szCs w:val="22"/>
          <w:lang w:val="es-ES"/>
        </w:rPr>
        <w:t xml:space="preserve"> incluyendo:</w:t>
      </w:r>
    </w:p>
    <w:p w:rsidR="0CBFF01E" w:rsidP="711688CB" w:rsidRDefault="0CBFF01E" w14:paraId="32AE80DB" w14:textId="79C8425E">
      <w:pPr>
        <w:pStyle w:val="ListParagraph"/>
        <w:numPr>
          <w:ilvl w:val="0"/>
          <w:numId w:val="4"/>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Cantidad de medidores instalados</w:t>
      </w:r>
      <w:r w:rsidRPr="711688CB" w:rsidR="0CBFF01E">
        <w:rPr>
          <w:rFonts w:ascii="Arial" w:hAnsi="Arial" w:eastAsia="Arial" w:cs="Arial"/>
          <w:noProof w:val="0"/>
          <w:sz w:val="22"/>
          <w:szCs w:val="22"/>
          <w:lang w:val="es-ES"/>
        </w:rPr>
        <w:t>.</w:t>
      </w:r>
    </w:p>
    <w:p w:rsidR="0CBFF01E" w:rsidP="711688CB" w:rsidRDefault="0CBFF01E" w14:paraId="0A8E549C" w14:textId="292E7CA3">
      <w:pPr>
        <w:pStyle w:val="ListParagraph"/>
        <w:numPr>
          <w:ilvl w:val="0"/>
          <w:numId w:val="4"/>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Listado de usuarios con medidores instalados con referencia a la selección muestral</w:t>
      </w:r>
    </w:p>
    <w:p w:rsidR="0CBFF01E" w:rsidP="711688CB" w:rsidRDefault="0CBFF01E" w14:paraId="14957F81" w14:textId="4C57C4EF">
      <w:pPr>
        <w:pStyle w:val="ListParagraph"/>
        <w:numPr>
          <w:ilvl w:val="0"/>
          <w:numId w:val="4"/>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Cantidad de medidores pendientes.</w:t>
      </w:r>
    </w:p>
    <w:p w:rsidR="0CBFF01E" w:rsidP="711688CB" w:rsidRDefault="0CBFF01E" w14:paraId="063B8B76" w14:textId="512DB009">
      <w:pPr>
        <w:pStyle w:val="ListParagraph"/>
        <w:numPr>
          <w:ilvl w:val="0"/>
          <w:numId w:val="4"/>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Riesgo de facturación a usuarios sin legalización completa.</w:t>
      </w:r>
    </w:p>
    <w:p w:rsidR="0CBFF01E" w:rsidP="711688CB" w:rsidRDefault="0CBFF01E" w14:paraId="5402B34F" w14:textId="6B126EAF">
      <w:pPr>
        <w:pStyle w:val="ListParagraph"/>
        <w:numPr>
          <w:ilvl w:val="0"/>
          <w:numId w:val="4"/>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Impactos sociales derivados de ciclos de facturación próximos.</w:t>
      </w:r>
    </w:p>
    <w:p w:rsidR="0CBFF01E" w:rsidP="711688CB" w:rsidRDefault="0CBFF01E" w14:paraId="626A8F37" w14:textId="1BDE08CA">
      <w:pPr>
        <w:pStyle w:val="ListParagraph"/>
        <w:numPr>
          <w:ilvl w:val="0"/>
          <w:numId w:val="4"/>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Medidas adoptadas para evitar afectaciones a los beneficiarios.</w:t>
      </w:r>
    </w:p>
    <w:p w:rsidR="711688CB" w:rsidP="711688CB" w:rsidRDefault="711688CB" w14:paraId="1C6377E6" w14:textId="0504D667">
      <w:pPr>
        <w:pStyle w:val="ListParagraph"/>
        <w:tabs>
          <w:tab w:val="left" w:leader="none" w:pos="0"/>
          <w:tab w:val="left" w:leader="none" w:pos="720"/>
        </w:tabs>
        <w:spacing w:before="0" w:beforeAutospacing="off" w:after="160" w:afterAutospacing="off" w:line="257" w:lineRule="auto"/>
        <w:ind w:left="720"/>
        <w:jc w:val="left"/>
        <w:rPr>
          <w:rFonts w:ascii="Arial" w:hAnsi="Arial" w:eastAsia="Arial" w:cs="Arial"/>
          <w:noProof w:val="0"/>
          <w:sz w:val="22"/>
          <w:szCs w:val="22"/>
          <w:lang w:val="es-ES"/>
        </w:rPr>
      </w:pPr>
    </w:p>
    <w:p w:rsidR="0CBFF01E" w:rsidP="711688CB" w:rsidRDefault="0CBFF01E" w14:paraId="0E6FB614" w14:textId="5E148A70">
      <w:pPr>
        <w:spacing w:before="0" w:beforeAutospacing="off" w:after="160" w:afterAutospacing="off" w:line="257" w:lineRule="auto"/>
        <w:jc w:val="both"/>
      </w:pPr>
      <w:r w:rsidRPr="711688CB" w:rsidR="0CBFF01E">
        <w:rPr>
          <w:rFonts w:ascii="Arial" w:hAnsi="Arial" w:eastAsia="Arial" w:cs="Arial"/>
          <w:noProof w:val="0"/>
          <w:sz w:val="22"/>
          <w:szCs w:val="22"/>
          <w:lang w:val="es-ES"/>
        </w:rPr>
        <w:t>Se solicita tener en cuenta que la instalación o activación de medidores bidireccionales debe realizarse únicamente una vez se garantice el cumplimiento regulatorio, técnico y documental requerido, evitando impactos negativos sobre la facturación de los usuarios beneficiarios y sobre la sostenibilidad social del proyecto.</w:t>
      </w:r>
    </w:p>
    <w:p w:rsidR="0CBFF01E" w:rsidP="711688CB" w:rsidRDefault="0CBFF01E" w14:paraId="5C87012F" w14:textId="4CE82CB9">
      <w:pPr>
        <w:spacing w:before="0" w:beforeAutospacing="off" w:after="160" w:afterAutospacing="off" w:line="257" w:lineRule="auto"/>
        <w:jc w:val="both"/>
      </w:pPr>
      <w:r w:rsidRPr="711688CB" w:rsidR="0CBFF01E">
        <w:rPr>
          <w:rFonts w:ascii="Arial" w:hAnsi="Arial" w:eastAsia="Arial" w:cs="Arial"/>
          <w:b w:val="1"/>
          <w:bCs w:val="1"/>
          <w:noProof w:val="0"/>
          <w:sz w:val="22"/>
          <w:szCs w:val="22"/>
          <w:lang w:val="es-ES"/>
        </w:rPr>
        <w:t>3.</w:t>
      </w:r>
      <w:r w:rsidRPr="711688CB" w:rsidR="31666E96">
        <w:rPr>
          <w:rFonts w:ascii="Arial" w:hAnsi="Arial" w:eastAsia="Arial" w:cs="Arial"/>
          <w:b w:val="1"/>
          <w:bCs w:val="1"/>
          <w:noProof w:val="0"/>
          <w:sz w:val="22"/>
          <w:szCs w:val="22"/>
          <w:lang w:val="es-ES"/>
        </w:rPr>
        <w:t>4</w:t>
      </w:r>
      <w:r w:rsidRPr="711688CB" w:rsidR="0CBFF01E">
        <w:rPr>
          <w:rFonts w:ascii="Arial" w:hAnsi="Arial" w:eastAsia="Arial" w:cs="Arial"/>
          <w:b w:val="1"/>
          <w:bCs w:val="1"/>
          <w:noProof w:val="0"/>
          <w:sz w:val="22"/>
          <w:szCs w:val="22"/>
          <w:lang w:val="es-ES"/>
        </w:rPr>
        <w:t>. Estado actual de actividades pendientes</w:t>
      </w:r>
    </w:p>
    <w:p w:rsidR="5706A471" w:rsidP="711688CB" w:rsidRDefault="5706A471" w14:paraId="5F21F92A" w14:textId="75A24E66">
      <w:pPr>
        <w:spacing w:before="0" w:beforeAutospacing="off" w:after="160" w:afterAutospacing="off" w:line="257" w:lineRule="auto"/>
        <w:jc w:val="both"/>
      </w:pPr>
      <w:r w:rsidRPr="711688CB" w:rsidR="5706A471">
        <w:rPr>
          <w:rFonts w:ascii="Arial" w:hAnsi="Arial" w:eastAsia="Arial" w:cs="Arial"/>
          <w:noProof w:val="0"/>
          <w:sz w:val="22"/>
          <w:szCs w:val="22"/>
          <w:lang w:val="es-ES"/>
        </w:rPr>
        <w:t xml:space="preserve">De acuerdo con la obligación “Entregar oportunamente la información que requiera el MINISTERIO y/o </w:t>
      </w:r>
      <w:r w:rsidRPr="711688CB" w:rsidR="5706A471">
        <w:rPr>
          <w:rFonts w:ascii="Arial" w:hAnsi="Arial" w:eastAsia="Arial" w:cs="Arial"/>
          <w:noProof w:val="0"/>
          <w:sz w:val="22"/>
          <w:szCs w:val="22"/>
          <w:lang w:val="es-ES"/>
        </w:rPr>
        <w:t>losentes</w:t>
      </w:r>
      <w:r w:rsidRPr="711688CB" w:rsidR="5706A471">
        <w:rPr>
          <w:rFonts w:ascii="Arial" w:hAnsi="Arial" w:eastAsia="Arial" w:cs="Arial"/>
          <w:noProof w:val="0"/>
          <w:sz w:val="22"/>
          <w:szCs w:val="22"/>
          <w:lang w:val="es-ES"/>
        </w:rPr>
        <w:t xml:space="preserve"> de control relativa a la ejecución del Contrato.”, se deber r</w:t>
      </w:r>
      <w:r w:rsidRPr="711688CB" w:rsidR="0CBFF01E">
        <w:rPr>
          <w:rFonts w:ascii="Arial" w:hAnsi="Arial" w:eastAsia="Arial" w:cs="Arial"/>
          <w:noProof w:val="0"/>
          <w:sz w:val="22"/>
          <w:szCs w:val="22"/>
          <w:lang w:val="es-ES"/>
        </w:rPr>
        <w:t>emitir una matriz consolidada con el estado actual de cada actividad pendiente para el cumplimiento del hito de las primeras 500 soluciones, incluyendo como mínimo:</w:t>
      </w:r>
    </w:p>
    <w:p w:rsidR="0CBFF01E" w:rsidP="711688CB" w:rsidRDefault="0CBFF01E" w14:paraId="1B2C03C3" w14:textId="34DC24DC">
      <w:pPr>
        <w:pStyle w:val="ListParagraph"/>
        <w:numPr>
          <w:ilvl w:val="0"/>
          <w:numId w:val="5"/>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Ingeniería de detalle</w:t>
      </w:r>
      <w:r w:rsidRPr="711688CB" w:rsidR="07809E2F">
        <w:rPr>
          <w:rFonts w:ascii="Arial" w:hAnsi="Arial" w:eastAsia="Arial" w:cs="Arial"/>
          <w:noProof w:val="0"/>
          <w:sz w:val="22"/>
          <w:szCs w:val="22"/>
          <w:lang w:val="es-ES"/>
        </w:rPr>
        <w:t xml:space="preserve"> que contemple los aspectos técnicos que permitan dar cumplimiento a lo indicado</w:t>
      </w:r>
      <w:r w:rsidRPr="711688CB" w:rsidR="04765B9E">
        <w:rPr>
          <w:rFonts w:ascii="Arial" w:hAnsi="Arial" w:eastAsia="Arial" w:cs="Arial"/>
          <w:noProof w:val="0"/>
          <w:sz w:val="22"/>
          <w:szCs w:val="22"/>
          <w:lang w:val="es-ES"/>
        </w:rPr>
        <w:t xml:space="preserve"> en la Resolución 40159 de 2026</w:t>
      </w:r>
    </w:p>
    <w:p w:rsidR="0CBFF01E" w:rsidP="711688CB" w:rsidRDefault="0CBFF01E" w14:paraId="26042AE6" w14:textId="71C9A613">
      <w:pPr>
        <w:pStyle w:val="ListParagraph"/>
        <w:numPr>
          <w:ilvl w:val="0"/>
          <w:numId w:val="5"/>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Observaciones de ingeniería pendientes.</w:t>
      </w:r>
    </w:p>
    <w:p w:rsidR="0CBFF01E" w:rsidP="711688CB" w:rsidRDefault="0CBFF01E" w14:paraId="06C8888B" w14:textId="582C4A82">
      <w:pPr>
        <w:pStyle w:val="ListParagraph"/>
        <w:numPr>
          <w:ilvl w:val="0"/>
          <w:numId w:val="5"/>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Certificación RETIE.</w:t>
      </w:r>
    </w:p>
    <w:p w:rsidR="0CBFF01E" w:rsidP="711688CB" w:rsidRDefault="0CBFF01E" w14:paraId="48C2C556" w14:textId="07E804FB">
      <w:pPr>
        <w:pStyle w:val="ListParagraph"/>
        <w:numPr>
          <w:ilvl w:val="0"/>
          <w:numId w:val="5"/>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Parametrización de microinversores.</w:t>
      </w:r>
    </w:p>
    <w:p w:rsidR="0CBFF01E" w:rsidP="711688CB" w:rsidRDefault="0CBFF01E" w14:paraId="41BEA819" w14:textId="4349693C">
      <w:pPr>
        <w:pStyle w:val="ListParagraph"/>
        <w:numPr>
          <w:ilvl w:val="0"/>
          <w:numId w:val="5"/>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Pruebas preoperacionales.</w:t>
      </w:r>
    </w:p>
    <w:p w:rsidR="0CBFF01E" w:rsidP="711688CB" w:rsidRDefault="0CBFF01E" w14:paraId="18B59328" w14:textId="6B17ECC1">
      <w:pPr>
        <w:pStyle w:val="ListParagraph"/>
        <w:numPr>
          <w:ilvl w:val="0"/>
          <w:numId w:val="5"/>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Comisionamiento.</w:t>
      </w:r>
    </w:p>
    <w:p w:rsidR="0CBFF01E" w:rsidP="711688CB" w:rsidRDefault="0CBFF01E" w14:paraId="39A25451" w14:textId="45CFF63D">
      <w:pPr>
        <w:pStyle w:val="ListParagraph"/>
        <w:numPr>
          <w:ilvl w:val="0"/>
          <w:numId w:val="5"/>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Legalización ante el Operador de Red.</w:t>
      </w:r>
    </w:p>
    <w:p w:rsidR="0CBFF01E" w:rsidP="711688CB" w:rsidRDefault="0CBFF01E" w14:paraId="7D0F97B0" w14:textId="4D961F39">
      <w:pPr>
        <w:pStyle w:val="ListParagraph"/>
        <w:numPr>
          <w:ilvl w:val="0"/>
          <w:numId w:val="5"/>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Capacitación a usuarios.</w:t>
      </w:r>
    </w:p>
    <w:p w:rsidR="0CBFF01E" w:rsidP="711688CB" w:rsidRDefault="0CBFF01E" w14:paraId="2643CA95" w14:textId="403A0511">
      <w:pPr>
        <w:pStyle w:val="ListParagraph"/>
        <w:numPr>
          <w:ilvl w:val="0"/>
          <w:numId w:val="5"/>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Documentación en ventanilla única.</w:t>
      </w:r>
    </w:p>
    <w:p w:rsidR="0CBFF01E" w:rsidP="711688CB" w:rsidRDefault="0CBFF01E" w14:paraId="477333AD" w14:textId="728EDF90">
      <w:pPr>
        <w:pStyle w:val="ListParagraph"/>
        <w:numPr>
          <w:ilvl w:val="0"/>
          <w:numId w:val="5"/>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Aprobaciones pendientes por parte de la interventoría.</w:t>
      </w:r>
    </w:p>
    <w:p w:rsidR="2EDA06AF" w:rsidP="711688CB" w:rsidRDefault="2EDA06AF" w14:paraId="3E21C68A" w14:textId="01861F7C">
      <w:pPr>
        <w:spacing w:before="0" w:beforeAutospacing="off" w:after="160" w:afterAutospacing="off" w:line="257" w:lineRule="auto"/>
        <w:jc w:val="both"/>
      </w:pPr>
      <w:r w:rsidRPr="711688CB" w:rsidR="2EDA06AF">
        <w:rPr>
          <w:rFonts w:ascii="Arial" w:hAnsi="Arial" w:eastAsia="Arial" w:cs="Arial"/>
          <w:noProof w:val="0"/>
          <w:sz w:val="22"/>
          <w:szCs w:val="22"/>
          <w:lang w:val="es-ES"/>
        </w:rPr>
        <w:t>Para cada actividad se deberá indicar: responsable, fecha programada, fecha real o estimada, porcentaje de avance, restricciones actuales, acción correctiva, soporte documental y fecha de cierre.</w:t>
      </w:r>
    </w:p>
    <w:p w:rsidR="711688CB" w:rsidP="711688CB" w:rsidRDefault="711688CB" w14:paraId="52587977" w14:textId="5A43EA18">
      <w:pPr>
        <w:spacing w:before="0" w:beforeAutospacing="off" w:after="160" w:afterAutospacing="off" w:line="257" w:lineRule="auto"/>
        <w:jc w:val="left"/>
        <w:rPr>
          <w:rFonts w:ascii="Arial" w:hAnsi="Arial" w:eastAsia="Arial" w:cs="Arial"/>
          <w:noProof w:val="0"/>
          <w:sz w:val="22"/>
          <w:szCs w:val="22"/>
          <w:lang w:val="es-ES"/>
        </w:rPr>
      </w:pPr>
    </w:p>
    <w:p w:rsidR="0CBFF01E" w:rsidP="711688CB" w:rsidRDefault="0CBFF01E" w14:paraId="580863E7" w14:textId="47C2DCEA">
      <w:pPr>
        <w:spacing w:before="0" w:beforeAutospacing="off" w:after="160" w:afterAutospacing="off" w:line="257" w:lineRule="auto"/>
        <w:jc w:val="left"/>
      </w:pPr>
      <w:r w:rsidRPr="711688CB" w:rsidR="0CBFF01E">
        <w:rPr>
          <w:rFonts w:ascii="Arial" w:hAnsi="Arial" w:eastAsia="Arial" w:cs="Arial"/>
          <w:b w:val="1"/>
          <w:bCs w:val="1"/>
          <w:noProof w:val="0"/>
          <w:sz w:val="22"/>
          <w:szCs w:val="22"/>
          <w:lang w:val="es-ES"/>
        </w:rPr>
        <w:t>3.</w:t>
      </w:r>
      <w:r w:rsidRPr="711688CB" w:rsidR="36A55C84">
        <w:rPr>
          <w:rFonts w:ascii="Arial" w:hAnsi="Arial" w:eastAsia="Arial" w:cs="Arial"/>
          <w:b w:val="1"/>
          <w:bCs w:val="1"/>
          <w:noProof w:val="0"/>
          <w:sz w:val="22"/>
          <w:szCs w:val="22"/>
          <w:lang w:val="es-ES"/>
        </w:rPr>
        <w:t>5</w:t>
      </w:r>
      <w:r w:rsidRPr="711688CB" w:rsidR="0CBFF01E">
        <w:rPr>
          <w:rFonts w:ascii="Arial" w:hAnsi="Arial" w:eastAsia="Arial" w:cs="Arial"/>
          <w:b w:val="1"/>
          <w:bCs w:val="1"/>
          <w:noProof w:val="0"/>
          <w:sz w:val="22"/>
          <w:szCs w:val="22"/>
          <w:lang w:val="es-ES"/>
        </w:rPr>
        <w:t>. Normatividad y estándares técnicos aplicables</w:t>
      </w:r>
    </w:p>
    <w:p w:rsidR="0CBFF01E" w:rsidP="711688CB" w:rsidRDefault="0CBFF01E" w14:paraId="578DF9BC" w14:textId="10A68815">
      <w:pPr>
        <w:spacing w:before="0" w:beforeAutospacing="off" w:after="160" w:afterAutospacing="off" w:line="257" w:lineRule="auto"/>
        <w:jc w:val="left"/>
      </w:pPr>
      <w:r w:rsidRPr="711688CB" w:rsidR="0CBFF01E">
        <w:rPr>
          <w:rFonts w:ascii="Arial" w:hAnsi="Arial" w:eastAsia="Arial" w:cs="Arial"/>
          <w:noProof w:val="0"/>
          <w:sz w:val="22"/>
          <w:szCs w:val="22"/>
          <w:lang w:val="es-ES"/>
        </w:rPr>
        <w:t>La respuesta deberá presentarse considerando, como mínimo, el cumplimiento de la siguiente normativa y estándares aplicables:</w:t>
      </w:r>
    </w:p>
    <w:p w:rsidR="0CBFF01E" w:rsidP="711688CB" w:rsidRDefault="0CBFF01E" w14:paraId="1B122491" w14:textId="64C9239D">
      <w:pPr>
        <w:pStyle w:val="ListParagraph"/>
        <w:numPr>
          <w:ilvl w:val="0"/>
          <w:numId w:val="8"/>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Reglamento Técnico de Instalaciones Eléctricas – RETIE vigente.</w:t>
      </w:r>
    </w:p>
    <w:p w:rsidR="0CBFF01E" w:rsidP="711688CB" w:rsidRDefault="0CBFF01E" w14:paraId="732B60F0" w14:textId="664405FE">
      <w:pPr>
        <w:pStyle w:val="ListParagraph"/>
        <w:numPr>
          <w:ilvl w:val="0"/>
          <w:numId w:val="8"/>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Acuerdos vigentes del Consejo Nacional de Operación (CNO) aplicables a requisitos de protecciones, pruebas y conexión de sistemas de generación y autogeneración.</w:t>
      </w:r>
    </w:p>
    <w:p w:rsidR="0CBFF01E" w:rsidP="711688CB" w:rsidRDefault="0CBFF01E" w14:paraId="58610E35" w14:textId="06B89B81">
      <w:pPr>
        <w:pStyle w:val="ListParagraph"/>
        <w:numPr>
          <w:ilvl w:val="0"/>
          <w:numId w:val="8"/>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Procedimientos técnicos del Operador de Red.</w:t>
      </w:r>
    </w:p>
    <w:p w:rsidR="0CBFF01E" w:rsidP="711688CB" w:rsidRDefault="0CBFF01E" w14:paraId="3F17A684" w14:textId="3BD47BED">
      <w:pPr>
        <w:pStyle w:val="ListParagraph"/>
        <w:numPr>
          <w:ilvl w:val="0"/>
          <w:numId w:val="8"/>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Requisitos de certificación de productos eléctricos aplicables a módulos, inversores, microinversores, protecciones, tableros, cableado, sistemas de puesta a tierra y demás componentes del sistema fotovoltaico.</w:t>
      </w:r>
    </w:p>
    <w:p w:rsidR="0CBFF01E" w:rsidP="711688CB" w:rsidRDefault="0CBFF01E" w14:paraId="38B8700B" w14:textId="611214B9">
      <w:pPr>
        <w:pStyle w:val="ListParagraph"/>
        <w:numPr>
          <w:ilvl w:val="0"/>
          <w:numId w:val="8"/>
        </w:numPr>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r w:rsidRPr="711688CB" w:rsidR="0CBFF01E">
        <w:rPr>
          <w:rFonts w:ascii="Arial" w:hAnsi="Arial" w:eastAsia="Arial" w:cs="Arial"/>
          <w:noProof w:val="0"/>
          <w:sz w:val="22"/>
          <w:szCs w:val="22"/>
          <w:lang w:val="es-ES"/>
        </w:rPr>
        <w:t>Obligaciones contractuales establecidas en el Contrato Interadministrativo GGC-2144-2025, el Contrato OGE-17548, sus anexos técnicos, cronograma, presupuesto, plan de inversión del anticipo, PDT, actas y otrosíes suscritos.</w:t>
      </w:r>
    </w:p>
    <w:p w:rsidR="711688CB" w:rsidP="711688CB" w:rsidRDefault="711688CB" w14:paraId="72873E81" w14:textId="1AC5F05C">
      <w:pPr>
        <w:bidi w:val="0"/>
        <w:spacing w:after="160" w:afterAutospacing="off" w:line="240" w:lineRule="auto"/>
        <w:jc w:val="both"/>
        <w:rPr>
          <w:rFonts w:ascii="Arial" w:hAnsi="Arial" w:eastAsia="Arial" w:cs="Arial" w:asciiTheme="minorAscii" w:hAnsiTheme="minorAscii" w:eastAsiaTheme="minorAscii" w:cstheme="minorBidi"/>
          <w:noProof w:val="0"/>
          <w:color w:val="auto"/>
          <w:sz w:val="22"/>
          <w:szCs w:val="22"/>
          <w:lang w:val="es-ES" w:eastAsia="en-US" w:bidi="ar-SA"/>
        </w:rPr>
      </w:pPr>
    </w:p>
    <w:p w:rsidR="711688CB" w:rsidP="711688CB" w:rsidRDefault="711688CB" w14:paraId="6160E9B4" w14:textId="2E707998">
      <w:pPr>
        <w:spacing w:after="160" w:afterAutospacing="off" w:line="276" w:lineRule="auto"/>
        <w:jc w:val="both"/>
        <w:rPr>
          <w:rFonts w:ascii="Arial" w:hAnsi="Arial" w:eastAsia="Arial" w:cs="Arial" w:asciiTheme="minorAscii" w:hAnsiTheme="minorAscii" w:eastAsiaTheme="minorAscii" w:cstheme="minorBidi"/>
          <w:b w:val="1"/>
          <w:bCs w:val="1"/>
          <w:noProof w:val="0"/>
          <w:color w:val="auto"/>
          <w:sz w:val="22"/>
          <w:szCs w:val="22"/>
          <w:lang w:val="es-ES" w:eastAsia="en-US" w:bidi="ar-SA"/>
        </w:rPr>
      </w:pPr>
    </w:p>
    <w:p w:rsidR="711688CB" w:rsidP="711688CB" w:rsidRDefault="711688CB" w14:paraId="097882BE" w14:textId="06198E95">
      <w:pPr>
        <w:bidi w:val="0"/>
        <w:spacing w:after="160" w:afterAutospacing="off" w:line="276" w:lineRule="auto"/>
        <w:jc w:val="both"/>
        <w:rPr>
          <w:rFonts w:ascii="Aptos" w:hAnsi="Aptos" w:eastAsia="Aptos" w:cs="Aptos"/>
          <w:noProof w:val="0"/>
          <w:sz w:val="24"/>
          <w:szCs w:val="24"/>
          <w:lang w:val="es-ES"/>
        </w:rPr>
      </w:pPr>
    </w:p>
    <w:p w:rsidR="711688CB" w:rsidP="711688CB" w:rsidRDefault="711688CB" w14:paraId="09DB3541" w14:textId="4DCAC5CE">
      <w:pPr>
        <w:jc w:val="left"/>
        <w:rPr>
          <w:rFonts w:ascii="Arial" w:hAnsi="Arial" w:eastAsia="Arial" w:cs="Arial"/>
          <w:noProof w:val="0"/>
          <w:sz w:val="22"/>
          <w:szCs w:val="22"/>
          <w:lang w:val="es-ES"/>
        </w:rPr>
      </w:pPr>
    </w:p>
    <w:p w:rsidR="711688CB" w:rsidP="711688CB" w:rsidRDefault="711688CB" w14:paraId="0FFDF2F6" w14:textId="7C573782">
      <w:pPr>
        <w:pStyle w:val="Normal"/>
        <w:tabs>
          <w:tab w:val="left" w:leader="none" w:pos="0"/>
          <w:tab w:val="left" w:leader="none" w:pos="720"/>
        </w:tabs>
        <w:spacing w:before="0" w:beforeAutospacing="off" w:after="160" w:afterAutospacing="off" w:line="257" w:lineRule="auto"/>
        <w:jc w:val="left"/>
        <w:rPr>
          <w:rFonts w:ascii="Arial" w:hAnsi="Arial" w:eastAsia="Arial" w:cs="Arial"/>
          <w:noProof w:val="0"/>
          <w:sz w:val="22"/>
          <w:szCs w:val="22"/>
          <w:lang w:val="es-ES"/>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0">
    <w:nsid w:val="2b068ee3"/>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4b1b9e8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262ca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7adc7f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41ac0b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331287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6e17bb0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4c8188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81611b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f8823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963D5B"/>
    <w:rsid w:val="0031F98A"/>
    <w:rsid w:val="003B24F3"/>
    <w:rsid w:val="005474F1"/>
    <w:rsid w:val="0198F221"/>
    <w:rsid w:val="01F79F3A"/>
    <w:rsid w:val="0258F50B"/>
    <w:rsid w:val="027F1CDF"/>
    <w:rsid w:val="02A7A0E6"/>
    <w:rsid w:val="02C72E6C"/>
    <w:rsid w:val="03622CC9"/>
    <w:rsid w:val="038F2175"/>
    <w:rsid w:val="03AFC8CB"/>
    <w:rsid w:val="041ABB0A"/>
    <w:rsid w:val="04765B9E"/>
    <w:rsid w:val="049745AD"/>
    <w:rsid w:val="05DA7A6F"/>
    <w:rsid w:val="062E2C75"/>
    <w:rsid w:val="067F7694"/>
    <w:rsid w:val="06978724"/>
    <w:rsid w:val="06EE4CF5"/>
    <w:rsid w:val="0775DC1C"/>
    <w:rsid w:val="07809E2F"/>
    <w:rsid w:val="07932BC0"/>
    <w:rsid w:val="07BEDA93"/>
    <w:rsid w:val="086921E6"/>
    <w:rsid w:val="08AC53BD"/>
    <w:rsid w:val="09E68259"/>
    <w:rsid w:val="0A215C98"/>
    <w:rsid w:val="0A81CA56"/>
    <w:rsid w:val="0AA07F8D"/>
    <w:rsid w:val="0AF86772"/>
    <w:rsid w:val="0B13FBEE"/>
    <w:rsid w:val="0C13BCA1"/>
    <w:rsid w:val="0C54B5DA"/>
    <w:rsid w:val="0C59F05B"/>
    <w:rsid w:val="0C8A3AC7"/>
    <w:rsid w:val="0C8A3AC7"/>
    <w:rsid w:val="0CBFF01E"/>
    <w:rsid w:val="0D42CA21"/>
    <w:rsid w:val="0D951FCC"/>
    <w:rsid w:val="0DDC3405"/>
    <w:rsid w:val="0E56F7C8"/>
    <w:rsid w:val="0E64E4DC"/>
    <w:rsid w:val="0E711021"/>
    <w:rsid w:val="0F6BD195"/>
    <w:rsid w:val="0F6F312C"/>
    <w:rsid w:val="1029E886"/>
    <w:rsid w:val="10BA4AA9"/>
    <w:rsid w:val="110152B9"/>
    <w:rsid w:val="116F5205"/>
    <w:rsid w:val="11A5971A"/>
    <w:rsid w:val="11B45526"/>
    <w:rsid w:val="120FD150"/>
    <w:rsid w:val="12623357"/>
    <w:rsid w:val="12D511D6"/>
    <w:rsid w:val="1381F83F"/>
    <w:rsid w:val="1397CF35"/>
    <w:rsid w:val="13BE4077"/>
    <w:rsid w:val="13DAE8A4"/>
    <w:rsid w:val="14001950"/>
    <w:rsid w:val="142B6929"/>
    <w:rsid w:val="142CA9D7"/>
    <w:rsid w:val="1480A520"/>
    <w:rsid w:val="1481D755"/>
    <w:rsid w:val="14E853AD"/>
    <w:rsid w:val="1526EA30"/>
    <w:rsid w:val="153BB49D"/>
    <w:rsid w:val="15651569"/>
    <w:rsid w:val="1594BB04"/>
    <w:rsid w:val="159F68EC"/>
    <w:rsid w:val="159F68EC"/>
    <w:rsid w:val="15C1B472"/>
    <w:rsid w:val="15C95945"/>
    <w:rsid w:val="160C7C0D"/>
    <w:rsid w:val="164EF285"/>
    <w:rsid w:val="17245539"/>
    <w:rsid w:val="18843472"/>
    <w:rsid w:val="18B54E3E"/>
    <w:rsid w:val="18B551E9"/>
    <w:rsid w:val="1907E8DF"/>
    <w:rsid w:val="199D42C7"/>
    <w:rsid w:val="19CAFACB"/>
    <w:rsid w:val="19E4FF8F"/>
    <w:rsid w:val="19FE3B2D"/>
    <w:rsid w:val="1A3E331E"/>
    <w:rsid w:val="1AB59926"/>
    <w:rsid w:val="1AC88EF8"/>
    <w:rsid w:val="1B7A6447"/>
    <w:rsid w:val="1BBF9FDE"/>
    <w:rsid w:val="1BD24CE9"/>
    <w:rsid w:val="1CBF88D0"/>
    <w:rsid w:val="1CC4A86F"/>
    <w:rsid w:val="1D5F2F06"/>
    <w:rsid w:val="1DE74F88"/>
    <w:rsid w:val="1E76F60E"/>
    <w:rsid w:val="1E794DF2"/>
    <w:rsid w:val="1E92D8A7"/>
    <w:rsid w:val="1F07F3C2"/>
    <w:rsid w:val="202C8ACE"/>
    <w:rsid w:val="20A5CC86"/>
    <w:rsid w:val="21393F75"/>
    <w:rsid w:val="219D48F2"/>
    <w:rsid w:val="21D93584"/>
    <w:rsid w:val="21E99EBE"/>
    <w:rsid w:val="224F11A6"/>
    <w:rsid w:val="22665F67"/>
    <w:rsid w:val="22CF32AB"/>
    <w:rsid w:val="2340F0E0"/>
    <w:rsid w:val="23C918D7"/>
    <w:rsid w:val="2426FE06"/>
    <w:rsid w:val="2444888A"/>
    <w:rsid w:val="2444888A"/>
    <w:rsid w:val="244A33F9"/>
    <w:rsid w:val="247892E9"/>
    <w:rsid w:val="25519789"/>
    <w:rsid w:val="260B490D"/>
    <w:rsid w:val="273EE54F"/>
    <w:rsid w:val="274126A3"/>
    <w:rsid w:val="27C714E7"/>
    <w:rsid w:val="28199BCD"/>
    <w:rsid w:val="289F3CEF"/>
    <w:rsid w:val="28B502CF"/>
    <w:rsid w:val="292DF098"/>
    <w:rsid w:val="295A78A7"/>
    <w:rsid w:val="295A78A7"/>
    <w:rsid w:val="2A173F77"/>
    <w:rsid w:val="2A2F87CB"/>
    <w:rsid w:val="2A566F7F"/>
    <w:rsid w:val="2A65378C"/>
    <w:rsid w:val="2A8F3467"/>
    <w:rsid w:val="2BC23CD7"/>
    <w:rsid w:val="2C938ED7"/>
    <w:rsid w:val="2D37EF15"/>
    <w:rsid w:val="2D6FB0AC"/>
    <w:rsid w:val="2DA39CC6"/>
    <w:rsid w:val="2DA39CC6"/>
    <w:rsid w:val="2DCB424B"/>
    <w:rsid w:val="2DEE672A"/>
    <w:rsid w:val="2E1AF77D"/>
    <w:rsid w:val="2E1E48C0"/>
    <w:rsid w:val="2E67F221"/>
    <w:rsid w:val="2EA84EF3"/>
    <w:rsid w:val="2EDA06AF"/>
    <w:rsid w:val="2F033ED6"/>
    <w:rsid w:val="2F8A9B2D"/>
    <w:rsid w:val="2FFDAE3F"/>
    <w:rsid w:val="300C967C"/>
    <w:rsid w:val="308CFC75"/>
    <w:rsid w:val="31327438"/>
    <w:rsid w:val="31666E96"/>
    <w:rsid w:val="317DADCA"/>
    <w:rsid w:val="31A8F683"/>
    <w:rsid w:val="31C6E33A"/>
    <w:rsid w:val="31EE97FF"/>
    <w:rsid w:val="31FBEA0D"/>
    <w:rsid w:val="3226D006"/>
    <w:rsid w:val="32818847"/>
    <w:rsid w:val="32BBA0C9"/>
    <w:rsid w:val="33065DD0"/>
    <w:rsid w:val="331C23FB"/>
    <w:rsid w:val="33CF4CAB"/>
    <w:rsid w:val="33D957AB"/>
    <w:rsid w:val="33F60009"/>
    <w:rsid w:val="34A24290"/>
    <w:rsid w:val="351134E1"/>
    <w:rsid w:val="351134E1"/>
    <w:rsid w:val="3558F805"/>
    <w:rsid w:val="358897F2"/>
    <w:rsid w:val="358E280A"/>
    <w:rsid w:val="35AAA940"/>
    <w:rsid w:val="3697FEB8"/>
    <w:rsid w:val="36A55C84"/>
    <w:rsid w:val="376209A3"/>
    <w:rsid w:val="3790EF3E"/>
    <w:rsid w:val="38637ED7"/>
    <w:rsid w:val="38FAE6B5"/>
    <w:rsid w:val="38FC9698"/>
    <w:rsid w:val="3901EF6D"/>
    <w:rsid w:val="39517ADE"/>
    <w:rsid w:val="39517ADE"/>
    <w:rsid w:val="398D98A9"/>
    <w:rsid w:val="3A93ADD7"/>
    <w:rsid w:val="3AA6B4A3"/>
    <w:rsid w:val="3B46BDC7"/>
    <w:rsid w:val="3BC1A4C9"/>
    <w:rsid w:val="3BE23340"/>
    <w:rsid w:val="3C603C18"/>
    <w:rsid w:val="3C603C18"/>
    <w:rsid w:val="3C61B2A6"/>
    <w:rsid w:val="3E74AFA9"/>
    <w:rsid w:val="3EB9D033"/>
    <w:rsid w:val="3F593A29"/>
    <w:rsid w:val="3F8266E0"/>
    <w:rsid w:val="401483D4"/>
    <w:rsid w:val="409EF173"/>
    <w:rsid w:val="40A45E3B"/>
    <w:rsid w:val="414AAA25"/>
    <w:rsid w:val="418E593D"/>
    <w:rsid w:val="426D1ED0"/>
    <w:rsid w:val="42CDA665"/>
    <w:rsid w:val="43428CC7"/>
    <w:rsid w:val="43C23C79"/>
    <w:rsid w:val="43E82FDB"/>
    <w:rsid w:val="44A780AC"/>
    <w:rsid w:val="44F1B8D7"/>
    <w:rsid w:val="45394D3E"/>
    <w:rsid w:val="4578A571"/>
    <w:rsid w:val="457A27C7"/>
    <w:rsid w:val="4674A809"/>
    <w:rsid w:val="4674A809"/>
    <w:rsid w:val="46F36739"/>
    <w:rsid w:val="47441931"/>
    <w:rsid w:val="47765C6A"/>
    <w:rsid w:val="47C874CF"/>
    <w:rsid w:val="47CA2E54"/>
    <w:rsid w:val="485A5202"/>
    <w:rsid w:val="4862119C"/>
    <w:rsid w:val="4862119C"/>
    <w:rsid w:val="4871913C"/>
    <w:rsid w:val="4984A41D"/>
    <w:rsid w:val="4A16D0C6"/>
    <w:rsid w:val="4A4F053D"/>
    <w:rsid w:val="4A4F053D"/>
    <w:rsid w:val="4AE63B78"/>
    <w:rsid w:val="4AFFE272"/>
    <w:rsid w:val="4B02BD11"/>
    <w:rsid w:val="4BB30E35"/>
    <w:rsid w:val="4C6BE327"/>
    <w:rsid w:val="4CAB34DF"/>
    <w:rsid w:val="4CF65700"/>
    <w:rsid w:val="4D3ED34C"/>
    <w:rsid w:val="4D462533"/>
    <w:rsid w:val="4E185623"/>
    <w:rsid w:val="4E57DF08"/>
    <w:rsid w:val="4EB98FFE"/>
    <w:rsid w:val="4EBE7254"/>
    <w:rsid w:val="4EE582BC"/>
    <w:rsid w:val="4EE582BC"/>
    <w:rsid w:val="4F351CFC"/>
    <w:rsid w:val="4F569086"/>
    <w:rsid w:val="4F738C2A"/>
    <w:rsid w:val="4FC6CD16"/>
    <w:rsid w:val="5002D050"/>
    <w:rsid w:val="500CBA59"/>
    <w:rsid w:val="50422D67"/>
    <w:rsid w:val="5077C55E"/>
    <w:rsid w:val="50821CA9"/>
    <w:rsid w:val="50963D5B"/>
    <w:rsid w:val="50D890F1"/>
    <w:rsid w:val="50EFC5EF"/>
    <w:rsid w:val="5194D064"/>
    <w:rsid w:val="519C654E"/>
    <w:rsid w:val="521E1888"/>
    <w:rsid w:val="521E1888"/>
    <w:rsid w:val="5251DA07"/>
    <w:rsid w:val="5260122C"/>
    <w:rsid w:val="52797D61"/>
    <w:rsid w:val="529B35DC"/>
    <w:rsid w:val="5301950A"/>
    <w:rsid w:val="545F1C89"/>
    <w:rsid w:val="549AAAB6"/>
    <w:rsid w:val="55486D59"/>
    <w:rsid w:val="557A3208"/>
    <w:rsid w:val="55B1D393"/>
    <w:rsid w:val="55E9F3DD"/>
    <w:rsid w:val="5645FA45"/>
    <w:rsid w:val="5648BF80"/>
    <w:rsid w:val="566D9EAC"/>
    <w:rsid w:val="567E821E"/>
    <w:rsid w:val="56830D6D"/>
    <w:rsid w:val="5706A471"/>
    <w:rsid w:val="572195D2"/>
    <w:rsid w:val="57CFFBE9"/>
    <w:rsid w:val="57D5AA4B"/>
    <w:rsid w:val="589E5449"/>
    <w:rsid w:val="59C8C79F"/>
    <w:rsid w:val="5AE4FC29"/>
    <w:rsid w:val="5B1F638E"/>
    <w:rsid w:val="5B45BF41"/>
    <w:rsid w:val="5B93BE52"/>
    <w:rsid w:val="5BB273C0"/>
    <w:rsid w:val="5BDE280C"/>
    <w:rsid w:val="5C29B86F"/>
    <w:rsid w:val="5C2DAB96"/>
    <w:rsid w:val="5CB69BE6"/>
    <w:rsid w:val="5CCD4EBD"/>
    <w:rsid w:val="5D843034"/>
    <w:rsid w:val="608F3F8D"/>
    <w:rsid w:val="611BEAD6"/>
    <w:rsid w:val="6198098C"/>
    <w:rsid w:val="619F59A7"/>
    <w:rsid w:val="61C097ED"/>
    <w:rsid w:val="620E0A42"/>
    <w:rsid w:val="62B0093C"/>
    <w:rsid w:val="62D07A59"/>
    <w:rsid w:val="636EFC19"/>
    <w:rsid w:val="63C1E688"/>
    <w:rsid w:val="64BE45E0"/>
    <w:rsid w:val="64EBC87C"/>
    <w:rsid w:val="64EEB91D"/>
    <w:rsid w:val="64EEB91D"/>
    <w:rsid w:val="64F577C4"/>
    <w:rsid w:val="65950D64"/>
    <w:rsid w:val="65A92EEB"/>
    <w:rsid w:val="65E080AB"/>
    <w:rsid w:val="66333EBB"/>
    <w:rsid w:val="664D6B15"/>
    <w:rsid w:val="6655553A"/>
    <w:rsid w:val="66C77A3D"/>
    <w:rsid w:val="67000233"/>
    <w:rsid w:val="67000233"/>
    <w:rsid w:val="67473E5A"/>
    <w:rsid w:val="675C1B3A"/>
    <w:rsid w:val="678EEC68"/>
    <w:rsid w:val="67969EFE"/>
    <w:rsid w:val="67C5D214"/>
    <w:rsid w:val="67D0D35E"/>
    <w:rsid w:val="67EF8732"/>
    <w:rsid w:val="6807328D"/>
    <w:rsid w:val="689D7B7C"/>
    <w:rsid w:val="68D05A91"/>
    <w:rsid w:val="68D9E78D"/>
    <w:rsid w:val="69B7E72C"/>
    <w:rsid w:val="69F7F99F"/>
    <w:rsid w:val="6A146966"/>
    <w:rsid w:val="6A5AD7AC"/>
    <w:rsid w:val="6A9F2B38"/>
    <w:rsid w:val="6AB3B43C"/>
    <w:rsid w:val="6B2A1DF6"/>
    <w:rsid w:val="6B58FD33"/>
    <w:rsid w:val="6B59950F"/>
    <w:rsid w:val="6B9601AB"/>
    <w:rsid w:val="6BB6B718"/>
    <w:rsid w:val="6BC9559D"/>
    <w:rsid w:val="6C03CDAB"/>
    <w:rsid w:val="6C03CDAB"/>
    <w:rsid w:val="6C1C7964"/>
    <w:rsid w:val="6C61A61E"/>
    <w:rsid w:val="6D7432A1"/>
    <w:rsid w:val="6D97CFCE"/>
    <w:rsid w:val="6E53DB0A"/>
    <w:rsid w:val="6E96F414"/>
    <w:rsid w:val="6EB97970"/>
    <w:rsid w:val="6EBF4036"/>
    <w:rsid w:val="6EC8CE2F"/>
    <w:rsid w:val="6ED718CB"/>
    <w:rsid w:val="6F510045"/>
    <w:rsid w:val="6F779C37"/>
    <w:rsid w:val="6F77E440"/>
    <w:rsid w:val="6F8A5F7D"/>
    <w:rsid w:val="6FF4E4FC"/>
    <w:rsid w:val="70752FDE"/>
    <w:rsid w:val="7082C861"/>
    <w:rsid w:val="70B508BA"/>
    <w:rsid w:val="711688CB"/>
    <w:rsid w:val="7194BD19"/>
    <w:rsid w:val="7243F359"/>
    <w:rsid w:val="72BC2005"/>
    <w:rsid w:val="731B1AE6"/>
    <w:rsid w:val="73267D71"/>
    <w:rsid w:val="7358258A"/>
    <w:rsid w:val="73B5826C"/>
    <w:rsid w:val="73F106E2"/>
    <w:rsid w:val="741A4274"/>
    <w:rsid w:val="74385B49"/>
    <w:rsid w:val="74AF6ED0"/>
    <w:rsid w:val="74BFB794"/>
    <w:rsid w:val="74D950B6"/>
    <w:rsid w:val="7525BAEC"/>
    <w:rsid w:val="757B5DC7"/>
    <w:rsid w:val="760E8A35"/>
    <w:rsid w:val="7613AA51"/>
    <w:rsid w:val="76264F15"/>
    <w:rsid w:val="7643C8CC"/>
    <w:rsid w:val="76F029F9"/>
    <w:rsid w:val="77A1C3A8"/>
    <w:rsid w:val="7872F31A"/>
    <w:rsid w:val="78805544"/>
    <w:rsid w:val="78CDFC5E"/>
    <w:rsid w:val="7988D4C9"/>
    <w:rsid w:val="798E163F"/>
    <w:rsid w:val="79E489B4"/>
    <w:rsid w:val="7A5CDD62"/>
    <w:rsid w:val="7AB9D7C4"/>
    <w:rsid w:val="7AC9738D"/>
    <w:rsid w:val="7BC2743F"/>
    <w:rsid w:val="7C5E344A"/>
    <w:rsid w:val="7C792D2E"/>
    <w:rsid w:val="7C85D95E"/>
    <w:rsid w:val="7C913284"/>
    <w:rsid w:val="7CC17D13"/>
    <w:rsid w:val="7D5C7763"/>
    <w:rsid w:val="7E0274B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3469C"/>
  <w15:chartTrackingRefBased/>
  <w15:docId w15:val="{A8882CBC-A661-46AB-A170-5AA473E0DE1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68D05A91"/>
    <w:pPr>
      <w:spacing/>
      <w:ind w:left="720"/>
      <w:contextualSpacing/>
    </w:pPr>
  </w:style>
  <w:style w:type="character" w:styleId="Hyperlink">
    <w:uiPriority w:val="99"/>
    <w:name w:val="Hyperlink"/>
    <w:basedOn w:val="DefaultParagraphFont"/>
    <w:unhideWhenUsed/>
    <w:rsid w:val="711688CB"/>
    <w:rPr>
      <w:color w:val="467886"/>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a1c30760799d4ea1"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2026-06-25T17:30:21.8243618Z</dcterms:created>
  <dcterms:modified xsi:type="dcterms:W3CDTF">2026-07-02T16:19:15.3610984Z</dcterms:modified>
  <dc:creator>KELLY JOHANNA CASTRO GARZON</dc:creator>
  <lastModifiedBy>GINA PAOLA BUVOLI MUNOZ</lastModifiedBy>
</coreProperties>
</file>